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sz w:val="26"/>
        </w:rPr>
      </w:pPr>
    </w:p>
    <w:p>
      <w:pPr>
        <w:pStyle w:val="Title"/>
        <w:spacing w:line="369" w:lineRule="auto"/>
        <w:rPr>
          <w:u w:val="none"/>
        </w:rPr>
      </w:pPr>
      <w:r>
        <w:rPr>
          <w:u w:val="single"/>
        </w:rPr>
        <w:t>RESOLUTION ON INTRA-AFRICAN CO-OPERATION IN LABOUR,</w:t>
      </w:r>
      <w:r>
        <w:rPr>
          <w:u w:val="none"/>
        </w:rPr>
        <w:t> </w:t>
      </w:r>
      <w:r>
        <w:rPr>
          <w:u w:val="single"/>
        </w:rPr>
        <w:t>EMPLOYMENT, POPULATION, SOCIAL AND RUR</w:t>
      </w:r>
      <w:r>
        <w:rPr>
          <w:spacing w:val="-12"/>
          <w:u w:val="single"/>
        </w:rPr>
        <w:t> </w:t>
      </w:r>
      <w:r>
        <w:rPr>
          <w:u w:val="single"/>
        </w:rPr>
        <w:t>AL DEVELOPMENT FIELDS</w:t>
      </w:r>
    </w:p>
    <w:p>
      <w:pPr>
        <w:pStyle w:val="BodyText"/>
        <w:spacing w:before="6"/>
        <w:rPr>
          <w:b/>
          <w:sz w:val="24"/>
        </w:rPr>
      </w:pPr>
    </w:p>
    <w:p>
      <w:pPr>
        <w:pStyle w:val="BodyText"/>
        <w:spacing w:line="374" w:lineRule="auto" w:before="96"/>
        <w:ind w:left="171" w:right="142" w:firstLine="676"/>
        <w:jc w:val="both"/>
      </w:pPr>
      <w:r>
        <w:rPr/>
        <w:t>The Council of Minister of the Organization of African Unity, meeting in its Thirty- Second Ordinary Session in Nairobi, Republic of Kenya, from 23 February to 4 March, 1979,</w:t>
      </w:r>
    </w:p>
    <w:p>
      <w:pPr>
        <w:pStyle w:val="BodyText"/>
        <w:spacing w:before="2"/>
        <w:rPr>
          <w:sz w:val="33"/>
        </w:rPr>
      </w:pPr>
    </w:p>
    <w:p>
      <w:pPr>
        <w:pStyle w:val="BodyText"/>
        <w:spacing w:line="369" w:lineRule="auto"/>
        <w:ind w:left="171" w:right="146" w:firstLine="676"/>
        <w:jc w:val="both"/>
      </w:pPr>
      <w:r>
        <w:rPr>
          <w:b/>
          <w:u w:val="single"/>
        </w:rPr>
        <w:t>Having</w:t>
      </w:r>
      <w:r>
        <w:rPr>
          <w:b/>
          <w:spacing w:val="40"/>
        </w:rPr>
        <w:t> </w:t>
      </w:r>
      <w:r>
        <w:rPr/>
        <w:t>and</w:t>
      </w:r>
      <w:r>
        <w:rPr>
          <w:spacing w:val="40"/>
        </w:rPr>
        <w:t> </w:t>
      </w:r>
      <w:r>
        <w:rPr/>
        <w:t>considered</w:t>
      </w:r>
      <w:r>
        <w:rPr>
          <w:spacing w:val="40"/>
        </w:rPr>
        <w:t> </w:t>
      </w:r>
      <w:r>
        <w:rPr/>
        <w:t>the</w:t>
      </w:r>
      <w:r>
        <w:rPr>
          <w:spacing w:val="40"/>
        </w:rPr>
        <w:t> </w:t>
      </w:r>
      <w:r>
        <w:rPr/>
        <w:t>Report</w:t>
      </w:r>
      <w:r>
        <w:rPr>
          <w:spacing w:val="40"/>
        </w:rPr>
        <w:t> </w:t>
      </w:r>
      <w:r>
        <w:rPr/>
        <w:t>of</w:t>
      </w:r>
      <w:r>
        <w:rPr>
          <w:spacing w:val="40"/>
        </w:rPr>
        <w:t> </w:t>
      </w:r>
      <w:r>
        <w:rPr/>
        <w:t>the</w:t>
      </w:r>
      <w:r>
        <w:rPr>
          <w:spacing w:val="40"/>
        </w:rPr>
        <w:t> </w:t>
      </w:r>
      <w:r>
        <w:rPr/>
        <w:t>Administrative</w:t>
      </w:r>
      <w:r>
        <w:rPr>
          <w:spacing w:val="40"/>
        </w:rPr>
        <w:t> </w:t>
      </w:r>
      <w:r>
        <w:rPr/>
        <w:t>Secretary-General</w:t>
      </w:r>
      <w:r>
        <w:rPr>
          <w:spacing w:val="40"/>
        </w:rPr>
        <w:t> </w:t>
      </w:r>
      <w:r>
        <w:rPr/>
        <w:t>– document CN/946 (XXXII),</w:t>
      </w:r>
    </w:p>
    <w:p>
      <w:pPr>
        <w:pStyle w:val="BodyText"/>
        <w:spacing w:before="8"/>
        <w:rPr>
          <w:sz w:val="33"/>
        </w:rPr>
      </w:pPr>
    </w:p>
    <w:p>
      <w:pPr>
        <w:pStyle w:val="BodyText"/>
        <w:spacing w:line="369" w:lineRule="auto"/>
        <w:ind w:left="171" w:right="150" w:firstLine="676"/>
        <w:jc w:val="both"/>
      </w:pPr>
      <w:r>
        <w:rPr>
          <w:b/>
          <w:u w:val="single"/>
        </w:rPr>
        <w:t>Having heard</w:t>
      </w:r>
      <w:r>
        <w:rPr>
          <w:b/>
        </w:rPr>
        <w:t> </w:t>
      </w:r>
      <w:r>
        <w:rPr/>
        <w:t>the statements of the representatives of the ILO, UNEP, UNESCO,</w:t>
      </w:r>
      <w:r>
        <w:rPr>
          <w:spacing w:val="40"/>
        </w:rPr>
        <w:t> </w:t>
      </w:r>
      <w:r>
        <w:rPr/>
        <w:t>WHO and FAO concerning their respective programme of activities in Africa,</w:t>
      </w:r>
    </w:p>
    <w:p>
      <w:pPr>
        <w:pStyle w:val="BodyText"/>
        <w:spacing w:before="1"/>
        <w:rPr>
          <w:sz w:val="34"/>
        </w:rPr>
      </w:pPr>
    </w:p>
    <w:p>
      <w:pPr>
        <w:pStyle w:val="BodyText"/>
        <w:spacing w:line="369" w:lineRule="auto"/>
        <w:ind w:left="171" w:right="156" w:firstLine="676"/>
        <w:jc w:val="both"/>
      </w:pPr>
      <w:r>
        <w:rPr>
          <w:b/>
          <w:u w:val="single"/>
        </w:rPr>
        <w:t>Inspired by</w:t>
      </w:r>
      <w:r>
        <w:rPr>
          <w:b/>
        </w:rPr>
        <w:t> </w:t>
      </w:r>
      <w:r>
        <w:rPr/>
        <w:t>the Charter of the Organization of African Unity the objectives of which include the promotion of understanding and co-operation among African peoples,</w:t>
      </w:r>
    </w:p>
    <w:p>
      <w:pPr>
        <w:pStyle w:val="BodyText"/>
        <w:spacing w:before="3"/>
        <w:rPr>
          <w:sz w:val="33"/>
        </w:rPr>
      </w:pPr>
    </w:p>
    <w:p>
      <w:pPr>
        <w:pStyle w:val="BodyText"/>
        <w:spacing w:line="372" w:lineRule="auto"/>
        <w:ind w:left="171" w:right="145" w:firstLine="676"/>
        <w:jc w:val="both"/>
      </w:pPr>
      <w:r>
        <w:rPr>
          <w:b/>
          <w:u w:val="single"/>
        </w:rPr>
        <w:t>Recalling</w:t>
      </w:r>
      <w:r>
        <w:rPr>
          <w:b/>
        </w:rPr>
        <w:t> </w:t>
      </w:r>
      <w:r>
        <w:rPr/>
        <w:t>Resolution CM/952 (XXXI) adopted by the Council of Ministers in its 31</w:t>
      </w:r>
      <w:r>
        <w:rPr>
          <w:spacing w:val="-14"/>
        </w:rPr>
        <w:t> </w:t>
      </w:r>
      <w:r>
        <w:rPr>
          <w:vertAlign w:val="superscript"/>
        </w:rPr>
        <w:t>st</w:t>
      </w:r>
      <w:r>
        <w:rPr>
          <w:vertAlign w:val="baseline"/>
        </w:rPr>
        <w:t> Ordinary Session held in Khartoum, Sudan, on the results of the Third Session of the OAU Labour Commission,</w:t>
      </w:r>
    </w:p>
    <w:p>
      <w:pPr>
        <w:pStyle w:val="BodyText"/>
        <w:spacing w:before="4"/>
        <w:rPr>
          <w:sz w:val="33"/>
        </w:rPr>
      </w:pPr>
    </w:p>
    <w:p>
      <w:pPr>
        <w:pStyle w:val="BodyText"/>
        <w:spacing w:line="369" w:lineRule="auto"/>
        <w:ind w:left="171" w:right="150" w:firstLine="677"/>
        <w:jc w:val="both"/>
      </w:pPr>
      <w:r>
        <w:rPr>
          <w:b/>
          <w:u w:val="single"/>
        </w:rPr>
        <w:t>Further recalling</w:t>
      </w:r>
      <w:r>
        <w:rPr>
          <w:b/>
        </w:rPr>
        <w:t> </w:t>
      </w:r>
      <w:r>
        <w:rPr/>
        <w:t>the declaration and programme of Action adopted by the World Employment Conference of June, 1976, in Geneva, the Action Programme of the First conference of Ministers of Labour of the Non-Aligned Countries and other Developing Countries held in Tunis, in April, 1978 and the World Population Plan of Action,</w:t>
      </w:r>
    </w:p>
    <w:p>
      <w:pPr>
        <w:pStyle w:val="BodyText"/>
        <w:spacing w:before="11"/>
        <w:rPr>
          <w:sz w:val="33"/>
        </w:rPr>
      </w:pPr>
    </w:p>
    <w:p>
      <w:pPr>
        <w:pStyle w:val="BodyText"/>
        <w:spacing w:line="367" w:lineRule="auto"/>
        <w:ind w:left="171" w:right="146" w:firstLine="676"/>
        <w:jc w:val="both"/>
      </w:pPr>
      <w:r>
        <w:rPr>
          <w:b/>
          <w:u w:val="single"/>
        </w:rPr>
        <w:t>Recalling also</w:t>
      </w:r>
      <w:r>
        <w:rPr>
          <w:b/>
        </w:rPr>
        <w:t> </w:t>
      </w:r>
      <w:r>
        <w:rPr/>
        <w:t>the Declaration and Programme of Action of the United Nations Conference on Technical Co-operation among Developing Countries held in August – September, 1978, in Buenos Aires,</w:t>
      </w:r>
    </w:p>
    <w:p>
      <w:pPr>
        <w:pStyle w:val="BodyText"/>
        <w:spacing w:before="3"/>
        <w:rPr>
          <w:sz w:val="34"/>
        </w:rPr>
      </w:pPr>
    </w:p>
    <w:p>
      <w:pPr>
        <w:pStyle w:val="ListParagraph"/>
        <w:numPr>
          <w:ilvl w:val="0"/>
          <w:numId w:val="1"/>
        </w:numPr>
        <w:tabs>
          <w:tab w:pos="1185" w:val="left" w:leader="none"/>
        </w:tabs>
        <w:spacing w:line="369" w:lineRule="auto" w:before="0" w:after="0"/>
        <w:ind w:left="1183" w:right="150" w:hanging="336"/>
        <w:jc w:val="left"/>
        <w:rPr>
          <w:sz w:val="22"/>
        </w:rPr>
      </w:pPr>
      <w:r>
        <w:rPr>
          <w:b/>
          <w:sz w:val="22"/>
        </w:rPr>
        <w:t>CONGRATULATES</w:t>
      </w:r>
      <w:r>
        <w:rPr>
          <w:b/>
          <w:spacing w:val="80"/>
          <w:sz w:val="22"/>
        </w:rPr>
        <w:t> </w:t>
      </w:r>
      <w:r>
        <w:rPr>
          <w:sz w:val="22"/>
        </w:rPr>
        <w:t>the</w:t>
      </w:r>
      <w:r>
        <w:rPr>
          <w:spacing w:val="40"/>
          <w:sz w:val="22"/>
        </w:rPr>
        <w:t> </w:t>
      </w:r>
      <w:r>
        <w:rPr>
          <w:sz w:val="22"/>
        </w:rPr>
        <w:t>General</w:t>
      </w:r>
      <w:r>
        <w:rPr>
          <w:spacing w:val="40"/>
          <w:sz w:val="22"/>
        </w:rPr>
        <w:t> </w:t>
      </w:r>
      <w:r>
        <w:rPr>
          <w:sz w:val="22"/>
        </w:rPr>
        <w:t>Secretariat</w:t>
      </w:r>
      <w:r>
        <w:rPr>
          <w:spacing w:val="40"/>
          <w:sz w:val="22"/>
        </w:rPr>
        <w:t> </w:t>
      </w:r>
      <w:r>
        <w:rPr>
          <w:sz w:val="22"/>
        </w:rPr>
        <w:t>of</w:t>
      </w:r>
      <w:r>
        <w:rPr>
          <w:spacing w:val="40"/>
          <w:sz w:val="22"/>
        </w:rPr>
        <w:t> </w:t>
      </w:r>
      <w:r>
        <w:rPr>
          <w:sz w:val="22"/>
        </w:rPr>
        <w:t>the</w:t>
      </w:r>
      <w:r>
        <w:rPr>
          <w:spacing w:val="40"/>
          <w:sz w:val="22"/>
        </w:rPr>
        <w:t> </w:t>
      </w:r>
      <w:r>
        <w:rPr>
          <w:sz w:val="22"/>
        </w:rPr>
        <w:t>Organization</w:t>
      </w:r>
      <w:r>
        <w:rPr>
          <w:spacing w:val="40"/>
          <w:sz w:val="22"/>
        </w:rPr>
        <w:t> </w:t>
      </w:r>
      <w:r>
        <w:rPr>
          <w:sz w:val="22"/>
        </w:rPr>
        <w:t>of</w:t>
      </w:r>
      <w:r>
        <w:rPr>
          <w:spacing w:val="40"/>
          <w:sz w:val="22"/>
        </w:rPr>
        <w:t> </w:t>
      </w:r>
      <w:r>
        <w:rPr>
          <w:sz w:val="22"/>
        </w:rPr>
        <w:t>African</w:t>
      </w:r>
      <w:r>
        <w:rPr>
          <w:spacing w:val="80"/>
          <w:sz w:val="22"/>
        </w:rPr>
        <w:t> </w:t>
      </w:r>
      <w:r>
        <w:rPr>
          <w:sz w:val="22"/>
        </w:rPr>
        <w:t>Unity for the comprehensive Report;</w:t>
      </w:r>
    </w:p>
    <w:p>
      <w:pPr>
        <w:pStyle w:val="BodyText"/>
        <w:spacing w:before="8"/>
        <w:rPr>
          <w:sz w:val="33"/>
        </w:rPr>
      </w:pPr>
    </w:p>
    <w:p>
      <w:pPr>
        <w:pStyle w:val="ListParagraph"/>
        <w:numPr>
          <w:ilvl w:val="0"/>
          <w:numId w:val="1"/>
        </w:numPr>
        <w:tabs>
          <w:tab w:pos="1185" w:val="left" w:leader="none"/>
        </w:tabs>
        <w:spacing w:line="240" w:lineRule="auto" w:before="0" w:after="0"/>
        <w:ind w:left="1184" w:right="0" w:hanging="337"/>
        <w:jc w:val="left"/>
        <w:rPr>
          <w:sz w:val="22"/>
        </w:rPr>
      </w:pPr>
      <w:r>
        <w:rPr>
          <w:b/>
          <w:sz w:val="22"/>
        </w:rPr>
        <w:t>TAKES</w:t>
      </w:r>
      <w:r>
        <w:rPr>
          <w:b/>
          <w:spacing w:val="7"/>
          <w:sz w:val="22"/>
        </w:rPr>
        <w:t> </w:t>
      </w:r>
      <w:r>
        <w:rPr>
          <w:b/>
          <w:sz w:val="22"/>
        </w:rPr>
        <w:t>NOTE</w:t>
      </w:r>
      <w:r>
        <w:rPr>
          <w:b/>
          <w:spacing w:val="23"/>
          <w:sz w:val="22"/>
        </w:rPr>
        <w:t> </w:t>
      </w:r>
      <w:r>
        <w:rPr>
          <w:sz w:val="22"/>
        </w:rPr>
        <w:t>of</w:t>
      </w:r>
      <w:r>
        <w:rPr>
          <w:spacing w:val="11"/>
          <w:sz w:val="22"/>
        </w:rPr>
        <w:t> </w:t>
      </w:r>
      <w:r>
        <w:rPr>
          <w:sz w:val="22"/>
        </w:rPr>
        <w:t>the</w:t>
      </w:r>
      <w:r>
        <w:rPr>
          <w:spacing w:val="11"/>
          <w:sz w:val="22"/>
        </w:rPr>
        <w:t> </w:t>
      </w:r>
      <w:r>
        <w:rPr>
          <w:sz w:val="22"/>
        </w:rPr>
        <w:t>Report</w:t>
      </w:r>
      <w:r>
        <w:rPr>
          <w:spacing w:val="11"/>
          <w:sz w:val="22"/>
        </w:rPr>
        <w:t> </w:t>
      </w:r>
      <w:r>
        <w:rPr>
          <w:sz w:val="22"/>
        </w:rPr>
        <w:t>and</w:t>
      </w:r>
      <w:r>
        <w:rPr>
          <w:spacing w:val="12"/>
          <w:sz w:val="22"/>
        </w:rPr>
        <w:t> </w:t>
      </w:r>
      <w:r>
        <w:rPr>
          <w:sz w:val="22"/>
        </w:rPr>
        <w:t>adopts</w:t>
      </w:r>
      <w:r>
        <w:rPr>
          <w:spacing w:val="11"/>
          <w:sz w:val="22"/>
        </w:rPr>
        <w:t> </w:t>
      </w:r>
      <w:r>
        <w:rPr>
          <w:sz w:val="22"/>
        </w:rPr>
        <w:t>the</w:t>
      </w:r>
      <w:r>
        <w:rPr>
          <w:spacing w:val="12"/>
          <w:sz w:val="22"/>
        </w:rPr>
        <w:t> </w:t>
      </w:r>
      <w:r>
        <w:rPr>
          <w:sz w:val="22"/>
        </w:rPr>
        <w:t>recommendations</w:t>
      </w:r>
      <w:r>
        <w:rPr>
          <w:spacing w:val="11"/>
          <w:sz w:val="22"/>
        </w:rPr>
        <w:t> </w:t>
      </w:r>
      <w:r>
        <w:rPr>
          <w:spacing w:val="-2"/>
          <w:sz w:val="22"/>
        </w:rPr>
        <w:t>therein;</w:t>
      </w:r>
    </w:p>
    <w:p>
      <w:pPr>
        <w:pStyle w:val="BodyText"/>
        <w:rPr>
          <w:sz w:val="24"/>
        </w:rPr>
      </w:pPr>
    </w:p>
    <w:p>
      <w:pPr>
        <w:pStyle w:val="BodyText"/>
        <w:spacing w:before="7"/>
        <w:rPr>
          <w:sz w:val="21"/>
        </w:rPr>
      </w:pPr>
    </w:p>
    <w:p>
      <w:pPr>
        <w:pStyle w:val="ListParagraph"/>
        <w:numPr>
          <w:ilvl w:val="0"/>
          <w:numId w:val="1"/>
        </w:numPr>
        <w:tabs>
          <w:tab w:pos="1185" w:val="left" w:leader="none"/>
        </w:tabs>
        <w:spacing w:line="369" w:lineRule="auto" w:before="0" w:after="0"/>
        <w:ind w:left="1183" w:right="156" w:hanging="336"/>
        <w:jc w:val="left"/>
        <w:rPr>
          <w:sz w:val="22"/>
        </w:rPr>
      </w:pPr>
      <w:r>
        <w:rPr>
          <w:b/>
          <w:sz w:val="22"/>
        </w:rPr>
        <w:t>CALLS</w:t>
      </w:r>
      <w:r>
        <w:rPr>
          <w:b/>
          <w:spacing w:val="27"/>
          <w:sz w:val="22"/>
        </w:rPr>
        <w:t> </w:t>
      </w:r>
      <w:r>
        <w:rPr>
          <w:b/>
          <w:sz w:val="22"/>
        </w:rPr>
        <w:t>UPON</w:t>
      </w:r>
      <w:r>
        <w:rPr>
          <w:b/>
          <w:spacing w:val="38"/>
          <w:sz w:val="22"/>
        </w:rPr>
        <w:t> </w:t>
      </w:r>
      <w:r>
        <w:rPr>
          <w:sz w:val="22"/>
        </w:rPr>
        <w:t>the</w:t>
      </w:r>
      <w:r>
        <w:rPr>
          <w:spacing w:val="27"/>
          <w:sz w:val="22"/>
        </w:rPr>
        <w:t> </w:t>
      </w:r>
      <w:r>
        <w:rPr>
          <w:sz w:val="22"/>
        </w:rPr>
        <w:t>Secretary-General in close collaboration, with Member states to</w:t>
      </w:r>
      <w:r>
        <w:rPr>
          <w:spacing w:val="40"/>
          <w:sz w:val="22"/>
        </w:rPr>
        <w:t> </w:t>
      </w:r>
      <w:r>
        <w:rPr>
          <w:sz w:val="22"/>
        </w:rPr>
        <w:t>implement,</w:t>
      </w:r>
      <w:r>
        <w:rPr>
          <w:spacing w:val="40"/>
          <w:sz w:val="22"/>
        </w:rPr>
        <w:t> </w:t>
      </w:r>
      <w:r>
        <w:rPr>
          <w:sz w:val="22"/>
        </w:rPr>
        <w:t>in</w:t>
      </w:r>
      <w:r>
        <w:rPr>
          <w:spacing w:val="40"/>
          <w:sz w:val="22"/>
        </w:rPr>
        <w:t> </w:t>
      </w:r>
      <w:r>
        <w:rPr>
          <w:sz w:val="22"/>
        </w:rPr>
        <w:t>conformity</w:t>
      </w:r>
      <w:r>
        <w:rPr>
          <w:spacing w:val="40"/>
          <w:sz w:val="22"/>
        </w:rPr>
        <w:t> </w:t>
      </w:r>
      <w:r>
        <w:rPr>
          <w:sz w:val="22"/>
        </w:rPr>
        <w:t>with</w:t>
      </w:r>
      <w:r>
        <w:rPr>
          <w:spacing w:val="40"/>
          <w:sz w:val="22"/>
        </w:rPr>
        <w:t> </w:t>
      </w:r>
      <w:r>
        <w:rPr>
          <w:sz w:val="22"/>
        </w:rPr>
        <w:t>the</w:t>
      </w:r>
      <w:r>
        <w:rPr>
          <w:spacing w:val="40"/>
          <w:sz w:val="22"/>
        </w:rPr>
        <w:t> </w:t>
      </w:r>
      <w:r>
        <w:rPr>
          <w:sz w:val="22"/>
        </w:rPr>
        <w:t>interests</w:t>
      </w:r>
      <w:r>
        <w:rPr>
          <w:spacing w:val="40"/>
          <w:sz w:val="22"/>
        </w:rPr>
        <w:t> </w:t>
      </w:r>
      <w:r>
        <w:rPr>
          <w:sz w:val="22"/>
        </w:rPr>
        <w:t>of</w:t>
      </w:r>
      <w:r>
        <w:rPr>
          <w:spacing w:val="40"/>
          <w:sz w:val="22"/>
        </w:rPr>
        <w:t> </w:t>
      </w:r>
      <w:r>
        <w:rPr>
          <w:sz w:val="22"/>
        </w:rPr>
        <w:t>the</w:t>
      </w:r>
      <w:r>
        <w:rPr>
          <w:spacing w:val="40"/>
          <w:sz w:val="22"/>
        </w:rPr>
        <w:t> </w:t>
      </w:r>
      <w:r>
        <w:rPr>
          <w:sz w:val="22"/>
        </w:rPr>
        <w:t>OAU</w:t>
      </w:r>
      <w:r>
        <w:rPr>
          <w:spacing w:val="40"/>
          <w:sz w:val="22"/>
        </w:rPr>
        <w:t> </w:t>
      </w:r>
      <w:r>
        <w:rPr>
          <w:sz w:val="22"/>
        </w:rPr>
        <w:t>the</w:t>
      </w:r>
      <w:r>
        <w:rPr>
          <w:spacing w:val="40"/>
          <w:sz w:val="22"/>
        </w:rPr>
        <w:t> </w:t>
      </w:r>
      <w:r>
        <w:rPr>
          <w:sz w:val="22"/>
        </w:rPr>
        <w:t>Declaration</w:t>
      </w:r>
      <w:r>
        <w:rPr>
          <w:spacing w:val="40"/>
          <w:sz w:val="22"/>
        </w:rPr>
        <w:t> </w:t>
      </w:r>
      <w:r>
        <w:rPr>
          <w:sz w:val="22"/>
        </w:rPr>
        <w:t>and</w:t>
      </w:r>
    </w:p>
    <w:p>
      <w:pPr>
        <w:spacing w:after="0" w:line="369" w:lineRule="auto"/>
        <w:jc w:val="left"/>
        <w:rPr>
          <w:sz w:val="22"/>
        </w:rPr>
        <w:sectPr>
          <w:headerReference w:type="default" r:id="rId5"/>
          <w:type w:val="continuous"/>
          <w:pgSz w:w="12240" w:h="15840"/>
          <w:pgMar w:header="701" w:footer="0" w:top="940" w:bottom="280" w:left="1720" w:right="1720"/>
          <w:pgNumType w:start="1"/>
        </w:sectPr>
      </w:pPr>
    </w:p>
    <w:p>
      <w:pPr>
        <w:pStyle w:val="BodyText"/>
        <w:spacing w:line="372" w:lineRule="auto" w:before="5"/>
        <w:ind w:left="1183" w:right="147"/>
        <w:jc w:val="both"/>
      </w:pPr>
      <w:r>
        <w:rPr/>
        <w:t>Programme of Action adopted by the World Employment Conference and the</w:t>
      </w:r>
      <w:r>
        <w:rPr>
          <w:spacing w:val="80"/>
        </w:rPr>
        <w:t> </w:t>
      </w:r>
      <w:r>
        <w:rPr/>
        <w:t>World Population Plan of Action adopted by the World Popula</w:t>
      </w:r>
      <w:r>
        <w:rPr>
          <w:spacing w:val="-14"/>
        </w:rPr>
        <w:t> </w:t>
      </w:r>
      <w:r>
        <w:rPr/>
        <w:t>tion Conference in </w:t>
      </w:r>
      <w:r>
        <w:rPr>
          <w:spacing w:val="-2"/>
        </w:rPr>
        <w:t>Bucharest;</w:t>
      </w:r>
    </w:p>
    <w:p>
      <w:pPr>
        <w:pStyle w:val="BodyText"/>
        <w:spacing w:before="10"/>
        <w:rPr>
          <w:sz w:val="32"/>
        </w:rPr>
      </w:pPr>
    </w:p>
    <w:p>
      <w:pPr>
        <w:pStyle w:val="ListParagraph"/>
        <w:numPr>
          <w:ilvl w:val="0"/>
          <w:numId w:val="1"/>
        </w:numPr>
        <w:tabs>
          <w:tab w:pos="1184" w:val="left" w:leader="none"/>
        </w:tabs>
        <w:spacing w:line="372" w:lineRule="auto" w:before="1" w:after="0"/>
        <w:ind w:left="1184" w:right="144" w:hanging="336"/>
        <w:jc w:val="both"/>
        <w:rPr>
          <w:sz w:val="22"/>
        </w:rPr>
      </w:pPr>
      <w:r>
        <w:rPr>
          <w:b/>
          <w:sz w:val="22"/>
        </w:rPr>
        <w:t>INVITES </w:t>
      </w:r>
      <w:r>
        <w:rPr>
          <w:sz w:val="22"/>
        </w:rPr>
        <w:t>Member States to ensure that in the formulation of their development plans, social factors should be given due emphasis in order to avoid a lobe-sided </w:t>
      </w:r>
      <w:r>
        <w:rPr>
          <w:spacing w:val="-2"/>
          <w:sz w:val="22"/>
        </w:rPr>
        <w:t>development;</w:t>
      </w:r>
    </w:p>
    <w:p>
      <w:pPr>
        <w:pStyle w:val="BodyText"/>
        <w:spacing w:before="4"/>
        <w:rPr>
          <w:sz w:val="33"/>
        </w:rPr>
      </w:pPr>
    </w:p>
    <w:p>
      <w:pPr>
        <w:pStyle w:val="ListParagraph"/>
        <w:numPr>
          <w:ilvl w:val="0"/>
          <w:numId w:val="1"/>
        </w:numPr>
        <w:tabs>
          <w:tab w:pos="1185" w:val="left" w:leader="none"/>
        </w:tabs>
        <w:spacing w:line="369" w:lineRule="auto" w:before="0" w:after="0"/>
        <w:ind w:left="1183" w:right="145" w:hanging="336"/>
        <w:jc w:val="both"/>
        <w:rPr>
          <w:sz w:val="22"/>
        </w:rPr>
      </w:pPr>
      <w:r>
        <w:rPr>
          <w:b/>
          <w:sz w:val="22"/>
        </w:rPr>
        <w:t>APPEALS </w:t>
      </w:r>
      <w:r>
        <w:rPr>
          <w:sz w:val="22"/>
        </w:rPr>
        <w:t>to African countries to take more advantage of all the technical and vocational training facilities currently provided by the Turin Advanced Technical and Vocational Training Centre;</w:t>
      </w:r>
    </w:p>
    <w:p>
      <w:pPr>
        <w:pStyle w:val="BodyText"/>
        <w:spacing w:before="7"/>
        <w:rPr>
          <w:sz w:val="33"/>
        </w:rPr>
      </w:pPr>
    </w:p>
    <w:p>
      <w:pPr>
        <w:pStyle w:val="ListParagraph"/>
        <w:numPr>
          <w:ilvl w:val="0"/>
          <w:numId w:val="1"/>
        </w:numPr>
        <w:tabs>
          <w:tab w:pos="1184" w:val="left" w:leader="none"/>
        </w:tabs>
        <w:spacing w:line="374" w:lineRule="auto" w:before="0" w:after="0"/>
        <w:ind w:left="1183" w:right="169" w:hanging="336"/>
        <w:jc w:val="both"/>
        <w:rPr>
          <w:sz w:val="22"/>
        </w:rPr>
      </w:pPr>
      <w:r>
        <w:rPr>
          <w:b/>
          <w:sz w:val="22"/>
        </w:rPr>
        <w:t>INVITES </w:t>
      </w:r>
      <w:r>
        <w:rPr>
          <w:sz w:val="22"/>
        </w:rPr>
        <w:t>the Secretary-General and the Director of the ILO Regional Office for Africa to:-</w:t>
      </w:r>
    </w:p>
    <w:p>
      <w:pPr>
        <w:pStyle w:val="BodyText"/>
        <w:spacing w:before="9"/>
        <w:rPr>
          <w:sz w:val="32"/>
        </w:rPr>
      </w:pPr>
    </w:p>
    <w:p>
      <w:pPr>
        <w:pStyle w:val="ListParagraph"/>
        <w:numPr>
          <w:ilvl w:val="1"/>
          <w:numId w:val="1"/>
        </w:numPr>
        <w:tabs>
          <w:tab w:pos="1525" w:val="left" w:leader="none"/>
        </w:tabs>
        <w:spacing w:line="372" w:lineRule="auto" w:before="0" w:after="0"/>
        <w:ind w:left="1524" w:right="162" w:hanging="341"/>
        <w:jc w:val="both"/>
        <w:rPr>
          <w:sz w:val="22"/>
        </w:rPr>
      </w:pPr>
      <w:r>
        <w:rPr>
          <w:sz w:val="22"/>
        </w:rPr>
        <w:t>intensify the OAU/ILO joint programme of co-operation in the field of labour employment, population, co-operatives and the role of women in employment and development;</w:t>
      </w:r>
    </w:p>
    <w:p>
      <w:pPr>
        <w:pStyle w:val="ListParagraph"/>
        <w:numPr>
          <w:ilvl w:val="1"/>
          <w:numId w:val="1"/>
        </w:numPr>
        <w:tabs>
          <w:tab w:pos="1525" w:val="left" w:leader="none"/>
        </w:tabs>
        <w:spacing w:line="369" w:lineRule="auto" w:before="0" w:after="0"/>
        <w:ind w:left="1524" w:right="142" w:hanging="341"/>
        <w:jc w:val="both"/>
        <w:rPr>
          <w:sz w:val="22"/>
        </w:rPr>
      </w:pPr>
      <w:r>
        <w:rPr>
          <w:sz w:val="22"/>
        </w:rPr>
        <w:t>concretise arrangements already under way to step up such programme of co</w:t>
      </w:r>
      <w:r>
        <w:rPr>
          <w:spacing w:val="-14"/>
          <w:sz w:val="22"/>
        </w:rPr>
        <w:t> </w:t>
      </w:r>
      <w:r>
        <w:rPr>
          <w:sz w:val="22"/>
        </w:rPr>
        <w:t>- operation by, </w:t>
      </w:r>
      <w:r>
        <w:rPr>
          <w:sz w:val="22"/>
          <w:u w:val="single"/>
        </w:rPr>
        <w:t>inter alia</w:t>
      </w:r>
      <w:r>
        <w:rPr>
          <w:sz w:val="22"/>
        </w:rPr>
        <w:t>, reinforcing the Labour and Population Section of the OAU, with the active financial support of the United Nations Fund for Population Activities (UNFPA).</w:t>
      </w:r>
    </w:p>
    <w:p>
      <w:pPr>
        <w:pStyle w:val="BodyText"/>
        <w:spacing w:before="1"/>
        <w:rPr>
          <w:sz w:val="33"/>
        </w:rPr>
      </w:pPr>
    </w:p>
    <w:p>
      <w:pPr>
        <w:pStyle w:val="ListParagraph"/>
        <w:numPr>
          <w:ilvl w:val="0"/>
          <w:numId w:val="1"/>
        </w:numPr>
        <w:tabs>
          <w:tab w:pos="1185" w:val="left" w:leader="none"/>
        </w:tabs>
        <w:spacing w:line="240" w:lineRule="auto" w:before="0" w:after="0"/>
        <w:ind w:left="1184" w:right="0" w:hanging="337"/>
        <w:jc w:val="left"/>
        <w:rPr>
          <w:sz w:val="22"/>
        </w:rPr>
      </w:pPr>
      <w:r>
        <w:rPr>
          <w:b/>
          <w:sz w:val="22"/>
        </w:rPr>
        <w:t>APPEALS</w:t>
      </w:r>
      <w:r>
        <w:rPr>
          <w:b/>
          <w:spacing w:val="25"/>
          <w:sz w:val="22"/>
        </w:rPr>
        <w:t> </w:t>
      </w:r>
      <w:r>
        <w:rPr>
          <w:sz w:val="22"/>
        </w:rPr>
        <w:t>to</w:t>
      </w:r>
      <w:r>
        <w:rPr>
          <w:spacing w:val="17"/>
          <w:sz w:val="22"/>
        </w:rPr>
        <w:t> </w:t>
      </w:r>
      <w:r>
        <w:rPr>
          <w:sz w:val="22"/>
        </w:rPr>
        <w:t>the</w:t>
      </w:r>
      <w:r>
        <w:rPr>
          <w:spacing w:val="17"/>
          <w:sz w:val="22"/>
        </w:rPr>
        <w:t> </w:t>
      </w:r>
      <w:r>
        <w:rPr>
          <w:sz w:val="22"/>
        </w:rPr>
        <w:t>ECA,</w:t>
      </w:r>
      <w:r>
        <w:rPr>
          <w:spacing w:val="16"/>
          <w:sz w:val="22"/>
        </w:rPr>
        <w:t> </w:t>
      </w:r>
      <w:r>
        <w:rPr>
          <w:sz w:val="22"/>
        </w:rPr>
        <w:t>ILO,</w:t>
      </w:r>
      <w:r>
        <w:rPr>
          <w:spacing w:val="17"/>
          <w:sz w:val="22"/>
        </w:rPr>
        <w:t> </w:t>
      </w:r>
      <w:r>
        <w:rPr>
          <w:sz w:val="22"/>
        </w:rPr>
        <w:t>UNEP,</w:t>
      </w:r>
      <w:r>
        <w:rPr>
          <w:spacing w:val="17"/>
          <w:sz w:val="22"/>
        </w:rPr>
        <w:t> </w:t>
      </w:r>
      <w:r>
        <w:rPr>
          <w:sz w:val="22"/>
        </w:rPr>
        <w:t>WHO,</w:t>
      </w:r>
      <w:r>
        <w:rPr>
          <w:spacing w:val="17"/>
          <w:sz w:val="22"/>
        </w:rPr>
        <w:t> </w:t>
      </w:r>
      <w:r>
        <w:rPr>
          <w:sz w:val="22"/>
        </w:rPr>
        <w:t>FAC,</w:t>
      </w:r>
      <w:r>
        <w:rPr>
          <w:spacing w:val="17"/>
          <w:sz w:val="22"/>
        </w:rPr>
        <w:t> </w:t>
      </w:r>
      <w:r>
        <w:rPr>
          <w:sz w:val="22"/>
        </w:rPr>
        <w:t>UNESCO,</w:t>
      </w:r>
      <w:r>
        <w:rPr>
          <w:spacing w:val="16"/>
          <w:sz w:val="22"/>
        </w:rPr>
        <w:t> </w:t>
      </w:r>
      <w:r>
        <w:rPr>
          <w:sz w:val="22"/>
        </w:rPr>
        <w:t>UNCTAD,</w:t>
      </w:r>
      <w:r>
        <w:rPr>
          <w:spacing w:val="17"/>
          <w:sz w:val="22"/>
        </w:rPr>
        <w:t> </w:t>
      </w:r>
      <w:r>
        <w:rPr>
          <w:spacing w:val="-2"/>
          <w:sz w:val="22"/>
        </w:rPr>
        <w:t>UNIDO</w:t>
      </w:r>
    </w:p>
    <w:p>
      <w:pPr>
        <w:pStyle w:val="BodyText"/>
        <w:spacing w:line="369" w:lineRule="auto" w:before="136"/>
        <w:ind w:left="1184" w:right="142" w:hanging="1"/>
        <w:jc w:val="both"/>
      </w:pPr>
      <w:r>
        <w:rPr/>
        <w:t>and</w:t>
      </w:r>
      <w:r>
        <w:rPr>
          <w:spacing w:val="40"/>
        </w:rPr>
        <w:t> </w:t>
      </w:r>
      <w:r>
        <w:rPr/>
        <w:t>other</w:t>
      </w:r>
      <w:r>
        <w:rPr>
          <w:spacing w:val="40"/>
        </w:rPr>
        <w:t> </w:t>
      </w:r>
      <w:r>
        <w:rPr/>
        <w:t>relevant</w:t>
      </w:r>
      <w:r>
        <w:rPr>
          <w:spacing w:val="40"/>
        </w:rPr>
        <w:t> </w:t>
      </w:r>
      <w:r>
        <w:rPr/>
        <w:t>specialized</w:t>
      </w:r>
      <w:r>
        <w:rPr>
          <w:spacing w:val="40"/>
        </w:rPr>
        <w:t> </w:t>
      </w:r>
      <w:r>
        <w:rPr/>
        <w:t>Agencies</w:t>
      </w:r>
      <w:r>
        <w:rPr>
          <w:spacing w:val="40"/>
        </w:rPr>
        <w:t> </w:t>
      </w:r>
      <w:r>
        <w:rPr/>
        <w:t>of</w:t>
      </w:r>
      <w:r>
        <w:rPr>
          <w:spacing w:val="40"/>
        </w:rPr>
        <w:t> </w:t>
      </w:r>
      <w:r>
        <w:rPr/>
        <w:t>the</w:t>
      </w:r>
      <w:r>
        <w:rPr>
          <w:spacing w:val="40"/>
        </w:rPr>
        <w:t> </w:t>
      </w:r>
      <w:r>
        <w:rPr/>
        <w:t>United Nations System to co- operate</w:t>
      </w:r>
      <w:r>
        <w:rPr>
          <w:spacing w:val="40"/>
        </w:rPr>
        <w:t> </w:t>
      </w:r>
      <w:r>
        <w:rPr/>
        <w:t>with</w:t>
      </w:r>
      <w:r>
        <w:rPr>
          <w:spacing w:val="40"/>
        </w:rPr>
        <w:t> </w:t>
      </w:r>
      <w:r>
        <w:rPr/>
        <w:t>the</w:t>
      </w:r>
      <w:r>
        <w:rPr>
          <w:spacing w:val="40"/>
        </w:rPr>
        <w:t> </w:t>
      </w:r>
      <w:r>
        <w:rPr/>
        <w:t>OAU</w:t>
      </w:r>
      <w:r>
        <w:rPr>
          <w:spacing w:val="40"/>
        </w:rPr>
        <w:t> </w:t>
      </w:r>
      <w:r>
        <w:rPr/>
        <w:t>and</w:t>
      </w:r>
      <w:r>
        <w:rPr>
          <w:spacing w:val="40"/>
        </w:rPr>
        <w:t> </w:t>
      </w:r>
      <w:r>
        <w:rPr/>
        <w:t>OATUU</w:t>
      </w:r>
      <w:r>
        <w:rPr>
          <w:spacing w:val="40"/>
        </w:rPr>
        <w:t> </w:t>
      </w:r>
      <w:r>
        <w:rPr/>
        <w:t>in</w:t>
      </w:r>
      <w:r>
        <w:rPr>
          <w:spacing w:val="40"/>
        </w:rPr>
        <w:t> </w:t>
      </w:r>
      <w:r>
        <w:rPr/>
        <w:t>the</w:t>
      </w:r>
      <w:r>
        <w:rPr>
          <w:spacing w:val="40"/>
        </w:rPr>
        <w:t> </w:t>
      </w:r>
      <w:r>
        <w:rPr/>
        <w:t>implementation</w:t>
      </w:r>
      <w:r>
        <w:rPr>
          <w:spacing w:val="40"/>
        </w:rPr>
        <w:t> </w:t>
      </w:r>
      <w:r>
        <w:rPr/>
        <w:t>of</w:t>
      </w:r>
      <w:r>
        <w:rPr>
          <w:spacing w:val="40"/>
        </w:rPr>
        <w:t> </w:t>
      </w:r>
      <w:r>
        <w:rPr/>
        <w:t>the recommendations made in the report:</w:t>
      </w:r>
    </w:p>
    <w:p>
      <w:pPr>
        <w:pStyle w:val="BodyText"/>
        <w:spacing w:before="7"/>
        <w:rPr>
          <w:sz w:val="33"/>
        </w:rPr>
      </w:pPr>
    </w:p>
    <w:p>
      <w:pPr>
        <w:pStyle w:val="ListParagraph"/>
        <w:numPr>
          <w:ilvl w:val="0"/>
          <w:numId w:val="1"/>
        </w:numPr>
        <w:tabs>
          <w:tab w:pos="1184" w:val="left" w:leader="none"/>
        </w:tabs>
        <w:spacing w:line="372" w:lineRule="auto" w:before="0" w:after="0"/>
        <w:ind w:left="1184" w:right="142" w:hanging="336"/>
        <w:jc w:val="both"/>
        <w:rPr>
          <w:sz w:val="22"/>
        </w:rPr>
      </w:pPr>
      <w:r>
        <w:rPr>
          <w:b/>
          <w:sz w:val="22"/>
        </w:rPr>
        <w:t>INVITES</w:t>
      </w:r>
      <w:r>
        <w:rPr>
          <w:b/>
          <w:spacing w:val="40"/>
          <w:sz w:val="22"/>
        </w:rPr>
        <w:t> </w:t>
      </w:r>
      <w:r>
        <w:rPr>
          <w:sz w:val="22"/>
        </w:rPr>
        <w:t>the</w:t>
      </w:r>
      <w:r>
        <w:rPr>
          <w:spacing w:val="40"/>
          <w:sz w:val="22"/>
        </w:rPr>
        <w:t> </w:t>
      </w:r>
      <w:r>
        <w:rPr>
          <w:sz w:val="22"/>
        </w:rPr>
        <w:t>OAU</w:t>
      </w:r>
      <w:r>
        <w:rPr>
          <w:spacing w:val="40"/>
          <w:sz w:val="22"/>
        </w:rPr>
        <w:t> </w:t>
      </w:r>
      <w:r>
        <w:rPr>
          <w:sz w:val="22"/>
        </w:rPr>
        <w:t>Administrative</w:t>
      </w:r>
      <w:r>
        <w:rPr>
          <w:spacing w:val="40"/>
          <w:sz w:val="22"/>
        </w:rPr>
        <w:t> </w:t>
      </w:r>
      <w:r>
        <w:rPr>
          <w:sz w:val="22"/>
        </w:rPr>
        <w:t>Secretary-General,</w:t>
      </w:r>
      <w:r>
        <w:rPr>
          <w:spacing w:val="40"/>
          <w:sz w:val="22"/>
        </w:rPr>
        <w:t> </w:t>
      </w:r>
      <w:r>
        <w:rPr>
          <w:sz w:val="22"/>
        </w:rPr>
        <w:t>the</w:t>
      </w:r>
      <w:r>
        <w:rPr>
          <w:spacing w:val="40"/>
          <w:sz w:val="22"/>
        </w:rPr>
        <w:t> </w:t>
      </w:r>
      <w:r>
        <w:rPr>
          <w:sz w:val="22"/>
        </w:rPr>
        <w:t>Secretary-General</w:t>
      </w:r>
      <w:r>
        <w:rPr>
          <w:spacing w:val="40"/>
          <w:sz w:val="22"/>
        </w:rPr>
        <w:t> </w:t>
      </w:r>
      <w:r>
        <w:rPr>
          <w:sz w:val="22"/>
        </w:rPr>
        <w:t>of the Arab League, the Secretary-General of the Arab Labour Organization and the Director</w:t>
      </w:r>
      <w:r>
        <w:rPr>
          <w:spacing w:val="74"/>
          <w:sz w:val="22"/>
        </w:rPr>
        <w:t> </w:t>
      </w:r>
      <w:r>
        <w:rPr>
          <w:sz w:val="22"/>
        </w:rPr>
        <w:t>of</w:t>
      </w:r>
      <w:r>
        <w:rPr>
          <w:spacing w:val="73"/>
          <w:sz w:val="22"/>
        </w:rPr>
        <w:t> </w:t>
      </w:r>
      <w:r>
        <w:rPr>
          <w:sz w:val="22"/>
        </w:rPr>
        <w:t>the</w:t>
      </w:r>
      <w:r>
        <w:rPr>
          <w:spacing w:val="73"/>
          <w:sz w:val="22"/>
        </w:rPr>
        <w:t> </w:t>
      </w:r>
      <w:r>
        <w:rPr>
          <w:sz w:val="22"/>
        </w:rPr>
        <w:t>ILO</w:t>
      </w:r>
      <w:r>
        <w:rPr>
          <w:spacing w:val="73"/>
          <w:sz w:val="22"/>
        </w:rPr>
        <w:t> </w:t>
      </w:r>
      <w:r>
        <w:rPr>
          <w:sz w:val="22"/>
        </w:rPr>
        <w:t>Regional</w:t>
      </w:r>
      <w:r>
        <w:rPr>
          <w:spacing w:val="73"/>
          <w:sz w:val="22"/>
        </w:rPr>
        <w:t> </w:t>
      </w:r>
      <w:r>
        <w:rPr>
          <w:sz w:val="22"/>
        </w:rPr>
        <w:t>Office</w:t>
      </w:r>
      <w:r>
        <w:rPr>
          <w:spacing w:val="73"/>
          <w:sz w:val="22"/>
        </w:rPr>
        <w:t> </w:t>
      </w:r>
      <w:r>
        <w:rPr>
          <w:sz w:val="22"/>
        </w:rPr>
        <w:t>to</w:t>
      </w:r>
      <w:r>
        <w:rPr>
          <w:spacing w:val="74"/>
          <w:sz w:val="22"/>
        </w:rPr>
        <w:t> </w:t>
      </w:r>
      <w:r>
        <w:rPr>
          <w:sz w:val="22"/>
        </w:rPr>
        <w:t>make</w:t>
      </w:r>
      <w:r>
        <w:rPr>
          <w:spacing w:val="73"/>
          <w:sz w:val="22"/>
        </w:rPr>
        <w:t> </w:t>
      </w:r>
      <w:r>
        <w:rPr>
          <w:sz w:val="22"/>
        </w:rPr>
        <w:t>formal</w:t>
      </w:r>
      <w:r>
        <w:rPr>
          <w:spacing w:val="73"/>
          <w:sz w:val="22"/>
        </w:rPr>
        <w:t> </w:t>
      </w:r>
      <w:r>
        <w:rPr>
          <w:sz w:val="22"/>
        </w:rPr>
        <w:t>consultations</w:t>
      </w:r>
      <w:r>
        <w:rPr>
          <w:spacing w:val="73"/>
          <w:sz w:val="22"/>
        </w:rPr>
        <w:t> </w:t>
      </w:r>
      <w:r>
        <w:rPr>
          <w:sz w:val="22"/>
        </w:rPr>
        <w:t>regarding</w:t>
      </w:r>
    </w:p>
    <w:p>
      <w:pPr>
        <w:pStyle w:val="BodyText"/>
        <w:spacing w:before="10"/>
        <w:rPr>
          <w:sz w:val="32"/>
        </w:rPr>
      </w:pPr>
    </w:p>
    <w:p>
      <w:pPr>
        <w:pStyle w:val="ListParagraph"/>
        <w:numPr>
          <w:ilvl w:val="0"/>
          <w:numId w:val="2"/>
        </w:numPr>
        <w:tabs>
          <w:tab w:pos="1525" w:val="left" w:leader="none"/>
        </w:tabs>
        <w:spacing w:line="374" w:lineRule="auto" w:before="1" w:after="0"/>
        <w:ind w:left="1524" w:right="167" w:hanging="341"/>
        <w:jc w:val="both"/>
        <w:rPr>
          <w:sz w:val="22"/>
        </w:rPr>
      </w:pPr>
      <w:r>
        <w:rPr>
          <w:sz w:val="22"/>
        </w:rPr>
        <w:t>which of the recommendations contained in the report could easily be financed under the framework of Afro-Arab Co-operation,</w:t>
      </w:r>
    </w:p>
    <w:p>
      <w:pPr>
        <w:pStyle w:val="ListParagraph"/>
        <w:numPr>
          <w:ilvl w:val="0"/>
          <w:numId w:val="2"/>
        </w:numPr>
        <w:tabs>
          <w:tab w:pos="1525" w:val="left" w:leader="none"/>
        </w:tabs>
        <w:spacing w:line="369" w:lineRule="auto" w:before="0" w:after="0"/>
        <w:ind w:left="1524" w:right="165" w:hanging="341"/>
        <w:jc w:val="both"/>
        <w:rPr>
          <w:sz w:val="22"/>
        </w:rPr>
      </w:pPr>
      <w:r>
        <w:rPr>
          <w:sz w:val="22"/>
        </w:rPr>
        <w:t>which</w:t>
      </w:r>
      <w:r>
        <w:rPr>
          <w:spacing w:val="29"/>
          <w:sz w:val="22"/>
        </w:rPr>
        <w:t> </w:t>
      </w:r>
      <w:r>
        <w:rPr>
          <w:sz w:val="22"/>
        </w:rPr>
        <w:t>of</w:t>
      </w:r>
      <w:r>
        <w:rPr>
          <w:spacing w:val="29"/>
          <w:sz w:val="22"/>
        </w:rPr>
        <w:t> </w:t>
      </w:r>
      <w:r>
        <w:rPr>
          <w:sz w:val="22"/>
        </w:rPr>
        <w:t>them</w:t>
      </w:r>
      <w:r>
        <w:rPr>
          <w:spacing w:val="30"/>
          <w:sz w:val="22"/>
        </w:rPr>
        <w:t> </w:t>
      </w:r>
      <w:r>
        <w:rPr>
          <w:sz w:val="22"/>
        </w:rPr>
        <w:t>could</w:t>
      </w:r>
      <w:r>
        <w:rPr>
          <w:spacing w:val="30"/>
          <w:sz w:val="22"/>
        </w:rPr>
        <w:t> </w:t>
      </w:r>
      <w:r>
        <w:rPr>
          <w:sz w:val="22"/>
        </w:rPr>
        <w:t>be</w:t>
      </w:r>
      <w:r>
        <w:rPr>
          <w:spacing w:val="29"/>
          <w:sz w:val="22"/>
        </w:rPr>
        <w:t> </w:t>
      </w:r>
      <w:r>
        <w:rPr>
          <w:sz w:val="22"/>
        </w:rPr>
        <w:t>established</w:t>
      </w:r>
      <w:r>
        <w:rPr>
          <w:spacing w:val="30"/>
          <w:sz w:val="22"/>
        </w:rPr>
        <w:t> </w:t>
      </w:r>
      <w:r>
        <w:rPr>
          <w:sz w:val="22"/>
        </w:rPr>
        <w:t>under</w:t>
      </w:r>
      <w:r>
        <w:rPr>
          <w:spacing w:val="26"/>
          <w:sz w:val="22"/>
        </w:rPr>
        <w:t> </w:t>
      </w:r>
      <w:r>
        <w:rPr>
          <w:sz w:val="22"/>
        </w:rPr>
        <w:t>the</w:t>
      </w:r>
      <w:r>
        <w:rPr>
          <w:spacing w:val="25"/>
          <w:sz w:val="22"/>
        </w:rPr>
        <w:t> </w:t>
      </w:r>
      <w:r>
        <w:rPr>
          <w:sz w:val="22"/>
        </w:rPr>
        <w:t>aegis</w:t>
      </w:r>
      <w:r>
        <w:rPr>
          <w:spacing w:val="25"/>
          <w:sz w:val="22"/>
        </w:rPr>
        <w:t> </w:t>
      </w:r>
      <w:r>
        <w:rPr>
          <w:sz w:val="22"/>
        </w:rPr>
        <w:t>of</w:t>
      </w:r>
      <w:r>
        <w:rPr>
          <w:spacing w:val="25"/>
          <w:sz w:val="22"/>
        </w:rPr>
        <w:t> </w:t>
      </w:r>
      <w:r>
        <w:rPr>
          <w:sz w:val="22"/>
        </w:rPr>
        <w:t>OAU/ILO</w:t>
      </w:r>
      <w:r>
        <w:rPr>
          <w:spacing w:val="25"/>
          <w:sz w:val="22"/>
        </w:rPr>
        <w:t> </w:t>
      </w:r>
      <w:r>
        <w:rPr>
          <w:sz w:val="22"/>
        </w:rPr>
        <w:t>programme of co-operation,</w:t>
      </w:r>
    </w:p>
    <w:p>
      <w:pPr>
        <w:spacing w:after="0" w:line="369" w:lineRule="auto"/>
        <w:jc w:val="both"/>
        <w:rPr>
          <w:sz w:val="22"/>
        </w:rPr>
        <w:sectPr>
          <w:pgSz w:w="12240" w:h="15840"/>
          <w:pgMar w:header="701" w:footer="0" w:top="940" w:bottom="280" w:left="1720" w:right="1720"/>
        </w:sectPr>
      </w:pPr>
    </w:p>
    <w:p>
      <w:pPr>
        <w:pStyle w:val="BodyText"/>
        <w:spacing w:before="4"/>
        <w:rPr>
          <w:sz w:val="26"/>
        </w:rPr>
      </w:pPr>
    </w:p>
    <w:p>
      <w:pPr>
        <w:pStyle w:val="ListParagraph"/>
        <w:numPr>
          <w:ilvl w:val="0"/>
          <w:numId w:val="2"/>
        </w:numPr>
        <w:tabs>
          <w:tab w:pos="1525" w:val="left" w:leader="none"/>
        </w:tabs>
        <w:spacing w:line="369" w:lineRule="auto" w:before="95" w:after="0"/>
        <w:ind w:left="1524" w:right="156" w:hanging="341"/>
        <w:jc w:val="left"/>
        <w:rPr>
          <w:sz w:val="22"/>
        </w:rPr>
      </w:pPr>
      <w:r>
        <w:rPr>
          <w:sz w:val="22"/>
        </w:rPr>
        <w:t>the</w:t>
      </w:r>
      <w:r>
        <w:rPr>
          <w:spacing w:val="40"/>
          <w:sz w:val="22"/>
        </w:rPr>
        <w:t> </w:t>
      </w:r>
      <w:r>
        <w:rPr>
          <w:sz w:val="22"/>
        </w:rPr>
        <w:t>dates,</w:t>
      </w:r>
      <w:r>
        <w:rPr>
          <w:spacing w:val="40"/>
          <w:sz w:val="22"/>
        </w:rPr>
        <w:t> </w:t>
      </w:r>
      <w:r>
        <w:rPr>
          <w:sz w:val="22"/>
        </w:rPr>
        <w:t>venue</w:t>
      </w:r>
      <w:r>
        <w:rPr>
          <w:spacing w:val="40"/>
          <w:sz w:val="22"/>
        </w:rPr>
        <w:t> </w:t>
      </w:r>
      <w:r>
        <w:rPr>
          <w:sz w:val="22"/>
        </w:rPr>
        <w:t>and</w:t>
      </w:r>
      <w:r>
        <w:rPr>
          <w:spacing w:val="40"/>
          <w:sz w:val="22"/>
        </w:rPr>
        <w:t> </w:t>
      </w:r>
      <w:r>
        <w:rPr>
          <w:sz w:val="22"/>
        </w:rPr>
        <w:t>agenda</w:t>
      </w:r>
      <w:r>
        <w:rPr>
          <w:spacing w:val="40"/>
          <w:sz w:val="22"/>
        </w:rPr>
        <w:t> </w:t>
      </w:r>
      <w:r>
        <w:rPr>
          <w:sz w:val="22"/>
        </w:rPr>
        <w:t>of</w:t>
      </w:r>
      <w:r>
        <w:rPr>
          <w:spacing w:val="40"/>
          <w:sz w:val="22"/>
        </w:rPr>
        <w:t> </w:t>
      </w:r>
      <w:r>
        <w:rPr>
          <w:sz w:val="22"/>
        </w:rPr>
        <w:t>the</w:t>
      </w:r>
      <w:r>
        <w:rPr>
          <w:spacing w:val="40"/>
          <w:sz w:val="22"/>
        </w:rPr>
        <w:t> </w:t>
      </w:r>
      <w:r>
        <w:rPr>
          <w:sz w:val="22"/>
        </w:rPr>
        <w:t>First</w:t>
      </w:r>
      <w:r>
        <w:rPr>
          <w:spacing w:val="40"/>
          <w:sz w:val="22"/>
        </w:rPr>
        <w:t> </w:t>
      </w:r>
      <w:r>
        <w:rPr>
          <w:sz w:val="22"/>
        </w:rPr>
        <w:t>Conference</w:t>
      </w:r>
      <w:r>
        <w:rPr>
          <w:spacing w:val="40"/>
          <w:sz w:val="22"/>
        </w:rPr>
        <w:t> </w:t>
      </w:r>
      <w:r>
        <w:rPr>
          <w:sz w:val="22"/>
        </w:rPr>
        <w:t>of</w:t>
      </w:r>
      <w:r>
        <w:rPr>
          <w:spacing w:val="40"/>
          <w:sz w:val="22"/>
        </w:rPr>
        <w:t> </w:t>
      </w:r>
      <w:r>
        <w:rPr>
          <w:sz w:val="22"/>
        </w:rPr>
        <w:t>African</w:t>
      </w:r>
      <w:r>
        <w:rPr>
          <w:spacing w:val="40"/>
          <w:sz w:val="22"/>
        </w:rPr>
        <w:t> </w:t>
      </w:r>
      <w:r>
        <w:rPr>
          <w:sz w:val="22"/>
        </w:rPr>
        <w:t>and</w:t>
      </w:r>
      <w:r>
        <w:rPr>
          <w:spacing w:val="40"/>
          <w:sz w:val="22"/>
        </w:rPr>
        <w:t> </w:t>
      </w:r>
      <w:r>
        <w:rPr>
          <w:sz w:val="22"/>
        </w:rPr>
        <w:t>Arab</w:t>
      </w:r>
      <w:r>
        <w:rPr>
          <w:spacing w:val="40"/>
          <w:sz w:val="22"/>
        </w:rPr>
        <w:t> </w:t>
      </w:r>
      <w:r>
        <w:rPr>
          <w:sz w:val="22"/>
        </w:rPr>
        <w:t>Labour Ministers.</w:t>
      </w:r>
    </w:p>
    <w:p>
      <w:pPr>
        <w:pStyle w:val="BodyText"/>
        <w:spacing w:before="3"/>
        <w:rPr>
          <w:sz w:val="33"/>
        </w:rPr>
      </w:pPr>
    </w:p>
    <w:p>
      <w:pPr>
        <w:pStyle w:val="BodyText"/>
        <w:spacing w:line="369" w:lineRule="auto"/>
        <w:ind w:left="1183" w:right="145" w:hanging="336"/>
        <w:jc w:val="both"/>
      </w:pPr>
      <w:r>
        <w:rPr/>
        <w:t>10. </w:t>
      </w:r>
      <w:r>
        <w:rPr>
          <w:b/>
        </w:rPr>
        <w:t>CALLS UPON </w:t>
      </w:r>
      <w:r>
        <w:rPr/>
        <w:t>the Administrative Secretary-General of the OAU to present comprehensive</w:t>
      </w:r>
      <w:r>
        <w:rPr>
          <w:spacing w:val="40"/>
        </w:rPr>
        <w:t> </w:t>
      </w:r>
      <w:r>
        <w:rPr/>
        <w:t>report</w:t>
      </w:r>
      <w:r>
        <w:rPr>
          <w:spacing w:val="40"/>
        </w:rPr>
        <w:t> </w:t>
      </w:r>
      <w:r>
        <w:rPr/>
        <w:t>on</w:t>
      </w:r>
      <w:r>
        <w:rPr>
          <w:spacing w:val="40"/>
        </w:rPr>
        <w:t> </w:t>
      </w:r>
      <w:r>
        <w:rPr/>
        <w:t>this</w:t>
      </w:r>
      <w:r>
        <w:rPr>
          <w:spacing w:val="40"/>
        </w:rPr>
        <w:t> </w:t>
      </w:r>
      <w:r>
        <w:rPr/>
        <w:t>subject</w:t>
      </w:r>
      <w:r>
        <w:rPr>
          <w:spacing w:val="40"/>
        </w:rPr>
        <w:t> </w:t>
      </w:r>
      <w:r>
        <w:rPr/>
        <w:t>including</w:t>
      </w:r>
      <w:r>
        <w:rPr>
          <w:spacing w:val="40"/>
        </w:rPr>
        <w:t> </w:t>
      </w:r>
      <w:r>
        <w:rPr/>
        <w:t>the</w:t>
      </w:r>
      <w:r>
        <w:rPr>
          <w:spacing w:val="40"/>
        </w:rPr>
        <w:t> </w:t>
      </w:r>
      <w:r>
        <w:rPr/>
        <w:t>examination</w:t>
      </w:r>
      <w:r>
        <w:rPr>
          <w:spacing w:val="40"/>
        </w:rPr>
        <w:t> </w:t>
      </w:r>
      <w:r>
        <w:rPr/>
        <w:t>of Decentralisation</w:t>
      </w:r>
      <w:r>
        <w:rPr>
          <w:spacing w:val="40"/>
        </w:rPr>
        <w:t> </w:t>
      </w:r>
      <w:r>
        <w:rPr/>
        <w:t>of</w:t>
      </w:r>
      <w:r>
        <w:rPr>
          <w:spacing w:val="40"/>
        </w:rPr>
        <w:t> </w:t>
      </w:r>
      <w:r>
        <w:rPr/>
        <w:t>ILO</w:t>
      </w:r>
      <w:r>
        <w:rPr>
          <w:spacing w:val="40"/>
        </w:rPr>
        <w:t> </w:t>
      </w:r>
      <w:r>
        <w:rPr/>
        <w:t>activities</w:t>
      </w:r>
      <w:r>
        <w:rPr>
          <w:spacing w:val="40"/>
        </w:rPr>
        <w:t> </w:t>
      </w:r>
      <w:r>
        <w:rPr/>
        <w:t>in</w:t>
      </w:r>
      <w:r>
        <w:rPr>
          <w:spacing w:val="40"/>
        </w:rPr>
        <w:t> </w:t>
      </w:r>
      <w:r>
        <w:rPr/>
        <w:t>Africa</w:t>
      </w:r>
      <w:r>
        <w:rPr>
          <w:spacing w:val="40"/>
        </w:rPr>
        <w:t> </w:t>
      </w:r>
      <w:r>
        <w:rPr/>
        <w:t>to</w:t>
      </w:r>
      <w:r>
        <w:rPr>
          <w:spacing w:val="40"/>
        </w:rPr>
        <w:t> </w:t>
      </w:r>
      <w:r>
        <w:rPr/>
        <w:t>the</w:t>
      </w:r>
      <w:r>
        <w:rPr>
          <w:spacing w:val="40"/>
        </w:rPr>
        <w:t> </w:t>
      </w:r>
      <w:r>
        <w:rPr/>
        <w:t>Fifth</w:t>
      </w:r>
      <w:r>
        <w:rPr>
          <w:spacing w:val="40"/>
        </w:rPr>
        <w:t> </w:t>
      </w:r>
      <w:r>
        <w:rPr/>
        <w:t>Session</w:t>
      </w:r>
      <w:r>
        <w:rPr>
          <w:spacing w:val="40"/>
        </w:rPr>
        <w:t> </w:t>
      </w:r>
      <w:r>
        <w:rPr/>
        <w:t>of</w:t>
      </w:r>
      <w:r>
        <w:rPr>
          <w:spacing w:val="40"/>
        </w:rPr>
        <w:t> </w:t>
      </w:r>
      <w:r>
        <w:rPr/>
        <w:t>the</w:t>
      </w:r>
      <w:r>
        <w:rPr>
          <w:spacing w:val="40"/>
        </w:rPr>
        <w:t> </w:t>
      </w:r>
      <w:r>
        <w:rPr/>
        <w:t>OAU Labour Commission and to the next convenient of the Council of Ministers.</w:t>
      </w:r>
    </w:p>
    <w:sectPr>
      <w:pgSz w:w="12240" w:h="15840"/>
      <w:pgMar w:header="701" w:footer="0" w:top="94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14.679993pt;margin-top:34.068241pt;width:104.9pt;height:14.5pt;mso-position-horizontal-relative:page;mso-position-vertical-relative:page;z-index:-15771136" type="#_x0000_t202" id="docshape1" filled="false" stroked="false">
          <v:textbox inset="0,0,0,0">
            <w:txbxContent>
              <w:p>
                <w:pPr>
                  <w:pStyle w:val="BodyText"/>
                  <w:spacing w:before="15"/>
                  <w:ind w:left="20"/>
                </w:pPr>
                <w:r>
                  <w:rPr/>
                  <w:t>CM/Res.</w:t>
                </w:r>
                <w:r>
                  <w:rPr>
                    <w:spacing w:val="15"/>
                  </w:rPr>
                  <w:t> </w:t>
                </w:r>
                <w:r>
                  <w:rPr/>
                  <w:t>708</w:t>
                </w:r>
                <w:r>
                  <w:rPr>
                    <w:spacing w:val="16"/>
                  </w:rPr>
                  <w:t> </w:t>
                </w:r>
                <w:r>
                  <w:rPr>
                    <w:spacing w:val="-2"/>
                  </w:rPr>
                  <w:t>(XXXII)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Letter"/>
      <w:lvlText w:val="%1)"/>
      <w:lvlJc w:val="left"/>
      <w:pPr>
        <w:ind w:left="1524" w:hanging="341"/>
        <w:jc w:val="left"/>
      </w:pPr>
      <w:rPr>
        <w:rFonts w:hint="default" w:ascii="Times New Roman" w:hAnsi="Times New Roman" w:eastAsia="Times New Roman" w:cs="Times New Roman"/>
        <w:b w:val="0"/>
        <w:bCs w:val="0"/>
        <w:i w:val="0"/>
        <w:iCs w:val="0"/>
        <w:w w:val="102"/>
        <w:sz w:val="22"/>
        <w:szCs w:val="22"/>
        <w:lang w:val="en-US" w:eastAsia="en-US" w:bidi="ar-SA"/>
      </w:rPr>
    </w:lvl>
    <w:lvl w:ilvl="1">
      <w:start w:val="0"/>
      <w:numFmt w:val="bullet"/>
      <w:lvlText w:val="•"/>
      <w:lvlJc w:val="left"/>
      <w:pPr>
        <w:ind w:left="2248" w:hanging="341"/>
      </w:pPr>
      <w:rPr>
        <w:rFonts w:hint="default"/>
        <w:lang w:val="en-US" w:eastAsia="en-US" w:bidi="ar-SA"/>
      </w:rPr>
    </w:lvl>
    <w:lvl w:ilvl="2">
      <w:start w:val="0"/>
      <w:numFmt w:val="bullet"/>
      <w:lvlText w:val="•"/>
      <w:lvlJc w:val="left"/>
      <w:pPr>
        <w:ind w:left="2976" w:hanging="341"/>
      </w:pPr>
      <w:rPr>
        <w:rFonts w:hint="default"/>
        <w:lang w:val="en-US" w:eastAsia="en-US" w:bidi="ar-SA"/>
      </w:rPr>
    </w:lvl>
    <w:lvl w:ilvl="3">
      <w:start w:val="0"/>
      <w:numFmt w:val="bullet"/>
      <w:lvlText w:val="•"/>
      <w:lvlJc w:val="left"/>
      <w:pPr>
        <w:ind w:left="3704" w:hanging="341"/>
      </w:pPr>
      <w:rPr>
        <w:rFonts w:hint="default"/>
        <w:lang w:val="en-US" w:eastAsia="en-US" w:bidi="ar-SA"/>
      </w:rPr>
    </w:lvl>
    <w:lvl w:ilvl="4">
      <w:start w:val="0"/>
      <w:numFmt w:val="bullet"/>
      <w:lvlText w:val="•"/>
      <w:lvlJc w:val="left"/>
      <w:pPr>
        <w:ind w:left="4432" w:hanging="341"/>
      </w:pPr>
      <w:rPr>
        <w:rFonts w:hint="default"/>
        <w:lang w:val="en-US" w:eastAsia="en-US" w:bidi="ar-SA"/>
      </w:rPr>
    </w:lvl>
    <w:lvl w:ilvl="5">
      <w:start w:val="0"/>
      <w:numFmt w:val="bullet"/>
      <w:lvlText w:val="•"/>
      <w:lvlJc w:val="left"/>
      <w:pPr>
        <w:ind w:left="5160" w:hanging="341"/>
      </w:pPr>
      <w:rPr>
        <w:rFonts w:hint="default"/>
        <w:lang w:val="en-US" w:eastAsia="en-US" w:bidi="ar-SA"/>
      </w:rPr>
    </w:lvl>
    <w:lvl w:ilvl="6">
      <w:start w:val="0"/>
      <w:numFmt w:val="bullet"/>
      <w:lvlText w:val="•"/>
      <w:lvlJc w:val="left"/>
      <w:pPr>
        <w:ind w:left="5888" w:hanging="341"/>
      </w:pPr>
      <w:rPr>
        <w:rFonts w:hint="default"/>
        <w:lang w:val="en-US" w:eastAsia="en-US" w:bidi="ar-SA"/>
      </w:rPr>
    </w:lvl>
    <w:lvl w:ilvl="7">
      <w:start w:val="0"/>
      <w:numFmt w:val="bullet"/>
      <w:lvlText w:val="•"/>
      <w:lvlJc w:val="left"/>
      <w:pPr>
        <w:ind w:left="6616" w:hanging="341"/>
      </w:pPr>
      <w:rPr>
        <w:rFonts w:hint="default"/>
        <w:lang w:val="en-US" w:eastAsia="en-US" w:bidi="ar-SA"/>
      </w:rPr>
    </w:lvl>
    <w:lvl w:ilvl="8">
      <w:start w:val="0"/>
      <w:numFmt w:val="bullet"/>
      <w:lvlText w:val="•"/>
      <w:lvlJc w:val="left"/>
      <w:pPr>
        <w:ind w:left="7344" w:hanging="341"/>
      </w:pPr>
      <w:rPr>
        <w:rFonts w:hint="default"/>
        <w:lang w:val="en-US" w:eastAsia="en-US" w:bidi="ar-SA"/>
      </w:rPr>
    </w:lvl>
  </w:abstractNum>
  <w:abstractNum w:abstractNumId="0">
    <w:multiLevelType w:val="hybridMultilevel"/>
    <w:lvl w:ilvl="0">
      <w:start w:val="1"/>
      <w:numFmt w:val="decimal"/>
      <w:lvlText w:val="%1."/>
      <w:lvlJc w:val="left"/>
      <w:pPr>
        <w:ind w:left="1184" w:hanging="336"/>
        <w:jc w:val="left"/>
      </w:pPr>
      <w:rPr>
        <w:rFonts w:hint="default" w:ascii="Times New Roman" w:hAnsi="Times New Roman" w:eastAsia="Times New Roman" w:cs="Times New Roman"/>
        <w:b w:val="0"/>
        <w:bCs w:val="0"/>
        <w:i w:val="0"/>
        <w:iCs w:val="0"/>
        <w:spacing w:val="-2"/>
        <w:w w:val="102"/>
        <w:sz w:val="22"/>
        <w:szCs w:val="22"/>
        <w:lang w:val="en-US" w:eastAsia="en-US" w:bidi="ar-SA"/>
      </w:rPr>
    </w:lvl>
    <w:lvl w:ilvl="1">
      <w:start w:val="1"/>
      <w:numFmt w:val="lowerRoman"/>
      <w:lvlText w:val="%2."/>
      <w:lvlJc w:val="left"/>
      <w:pPr>
        <w:ind w:left="1524" w:hanging="341"/>
        <w:jc w:val="left"/>
      </w:pPr>
      <w:rPr>
        <w:rFonts w:hint="default" w:ascii="Times New Roman" w:hAnsi="Times New Roman" w:eastAsia="Times New Roman" w:cs="Times New Roman"/>
        <w:b w:val="0"/>
        <w:bCs w:val="0"/>
        <w:i w:val="0"/>
        <w:iCs w:val="0"/>
        <w:w w:val="94"/>
        <w:sz w:val="22"/>
        <w:szCs w:val="22"/>
        <w:lang w:val="en-US" w:eastAsia="en-US" w:bidi="ar-SA"/>
      </w:rPr>
    </w:lvl>
    <w:lvl w:ilvl="2">
      <w:start w:val="0"/>
      <w:numFmt w:val="bullet"/>
      <w:lvlText w:val="•"/>
      <w:lvlJc w:val="left"/>
      <w:pPr>
        <w:ind w:left="2328" w:hanging="341"/>
      </w:pPr>
      <w:rPr>
        <w:rFonts w:hint="default"/>
        <w:lang w:val="en-US" w:eastAsia="en-US" w:bidi="ar-SA"/>
      </w:rPr>
    </w:lvl>
    <w:lvl w:ilvl="3">
      <w:start w:val="0"/>
      <w:numFmt w:val="bullet"/>
      <w:lvlText w:val="•"/>
      <w:lvlJc w:val="left"/>
      <w:pPr>
        <w:ind w:left="3137" w:hanging="341"/>
      </w:pPr>
      <w:rPr>
        <w:rFonts w:hint="default"/>
        <w:lang w:val="en-US" w:eastAsia="en-US" w:bidi="ar-SA"/>
      </w:rPr>
    </w:lvl>
    <w:lvl w:ilvl="4">
      <w:start w:val="0"/>
      <w:numFmt w:val="bullet"/>
      <w:lvlText w:val="•"/>
      <w:lvlJc w:val="left"/>
      <w:pPr>
        <w:ind w:left="3946" w:hanging="341"/>
      </w:pPr>
      <w:rPr>
        <w:rFonts w:hint="default"/>
        <w:lang w:val="en-US" w:eastAsia="en-US" w:bidi="ar-SA"/>
      </w:rPr>
    </w:lvl>
    <w:lvl w:ilvl="5">
      <w:start w:val="0"/>
      <w:numFmt w:val="bullet"/>
      <w:lvlText w:val="•"/>
      <w:lvlJc w:val="left"/>
      <w:pPr>
        <w:ind w:left="4755" w:hanging="341"/>
      </w:pPr>
      <w:rPr>
        <w:rFonts w:hint="default"/>
        <w:lang w:val="en-US" w:eastAsia="en-US" w:bidi="ar-SA"/>
      </w:rPr>
    </w:lvl>
    <w:lvl w:ilvl="6">
      <w:start w:val="0"/>
      <w:numFmt w:val="bullet"/>
      <w:lvlText w:val="•"/>
      <w:lvlJc w:val="left"/>
      <w:pPr>
        <w:ind w:left="5564" w:hanging="341"/>
      </w:pPr>
      <w:rPr>
        <w:rFonts w:hint="default"/>
        <w:lang w:val="en-US" w:eastAsia="en-US" w:bidi="ar-SA"/>
      </w:rPr>
    </w:lvl>
    <w:lvl w:ilvl="7">
      <w:start w:val="0"/>
      <w:numFmt w:val="bullet"/>
      <w:lvlText w:val="•"/>
      <w:lvlJc w:val="left"/>
      <w:pPr>
        <w:ind w:left="6373" w:hanging="341"/>
      </w:pPr>
      <w:rPr>
        <w:rFonts w:hint="default"/>
        <w:lang w:val="en-US" w:eastAsia="en-US" w:bidi="ar-SA"/>
      </w:rPr>
    </w:lvl>
    <w:lvl w:ilvl="8">
      <w:start w:val="0"/>
      <w:numFmt w:val="bullet"/>
      <w:lvlText w:val="•"/>
      <w:lvlJc w:val="left"/>
      <w:pPr>
        <w:ind w:left="7182" w:hanging="341"/>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6"/>
      <w:ind w:left="248" w:firstLine="662"/>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524"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COUNCIL OF MINISTERS ADOPTED AT ITS THIRTY-SECOND ORDINARY SESSION</dc:title>
  <dcterms:created xsi:type="dcterms:W3CDTF">2023-06-07T09:13:18Z</dcterms:created>
  <dcterms:modified xsi:type="dcterms:W3CDTF">2023-06-07T09:13:18Z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2023-03-27T00:00:00Z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