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THE CONFERENCE OF AFRICAN</w:t>
      </w:r>
      <w:r>
        <w:rPr>
          <w:u w:val="none"/>
        </w:rPr>
        <w:t> </w:t>
      </w:r>
      <w:r>
        <w:rPr>
          <w:u w:val="single"/>
        </w:rPr>
        <w:t>NON-GOVERNMENTAL ORGANIZATIONS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142" w:firstLine="676"/>
        <w:jc w:val="both"/>
      </w:pPr>
      <w:r>
        <w:rPr/>
        <w:t>The Council of Minister of the Organization of African Unity, meeting in its Thirty- Second Ordinary Session in Nairobi, Republic of Kenya,</w:t>
      </w:r>
      <w:r>
        <w:rPr>
          <w:spacing w:val="30"/>
        </w:rPr>
        <w:t> </w:t>
      </w:r>
      <w:r>
        <w:rPr/>
        <w:t>from 23 February to 4 March, 1979,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45" w:firstLine="676"/>
        <w:jc w:val="both"/>
      </w:pPr>
      <w:r>
        <w:rPr>
          <w:b/>
          <w:u w:val="single"/>
        </w:rPr>
        <w:t>Having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heard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Administrative</w:t>
      </w:r>
      <w:r>
        <w:rPr>
          <w:spacing w:val="40"/>
        </w:rPr>
        <w:t> </w:t>
      </w:r>
      <w:r>
        <w:rPr/>
        <w:t>Secretary-General’s</w:t>
      </w:r>
      <w:r>
        <w:rPr>
          <w:spacing w:val="40"/>
        </w:rPr>
        <w:t> </w:t>
      </w:r>
      <w:r>
        <w:rPr/>
        <w:t>report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Co</w:t>
      </w:r>
      <w:r>
        <w:rPr>
          <w:spacing w:val="-14"/>
        </w:rPr>
        <w:t> </w:t>
      </w:r>
      <w:r>
        <w:rPr/>
        <w:t>-operation between the OAU and African Non-Governmental Organizations (Doc. CM/945 (XXXII)),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42" w:firstLine="676"/>
        <w:jc w:val="both"/>
      </w:pPr>
      <w:r>
        <w:rPr>
          <w:b/>
          <w:u w:val="single"/>
        </w:rPr>
        <w:t>Having examined</w:t>
      </w:r>
      <w:r>
        <w:rPr>
          <w:b/>
        </w:rPr>
        <w:t> </w:t>
      </w:r>
      <w:r>
        <w:rPr/>
        <w:t>also the report of the OAU Secretary-General on the proposed co- operation with the PID contained in document CM/955 (XXXII),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7" w:lineRule="auto"/>
        <w:ind w:left="171" w:right="146" w:firstLine="676"/>
        <w:jc w:val="both"/>
      </w:pPr>
      <w:r>
        <w:rPr>
          <w:b/>
          <w:u w:val="single"/>
        </w:rPr>
        <w:t>Appreciating</w:t>
      </w:r>
      <w:r>
        <w:rPr>
          <w:b/>
          <w:spacing w:val="40"/>
        </w:rPr>
        <w:t> </w:t>
      </w:r>
      <w:r>
        <w:rPr/>
        <w:t>the Administrative Secretary-General’s initiative to further strengthen</w:t>
      </w:r>
      <w:r>
        <w:rPr>
          <w:spacing w:val="40"/>
        </w:rPr>
        <w:t> </w:t>
      </w:r>
      <w:r>
        <w:rPr/>
        <w:t>co-operation between the OAU and the African Non-Governmental Organizations by associating them with the OAU’s economic and social development programmes,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369" w:lineRule="auto"/>
        <w:ind w:left="171" w:right="151" w:firstLine="676"/>
        <w:jc w:val="both"/>
      </w:pPr>
      <w:r>
        <w:rPr>
          <w:b/>
          <w:u w:val="single"/>
        </w:rPr>
        <w:t>Desirous</w:t>
      </w:r>
      <w:r>
        <w:rPr>
          <w:b/>
        </w:rPr>
        <w:t> </w:t>
      </w:r>
      <w:r>
        <w:rPr/>
        <w:t>of making the African Non-Governmental organizations play their role in favour</w:t>
      </w:r>
      <w:r>
        <w:rPr>
          <w:spacing w:val="29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economic</w:t>
      </w:r>
      <w:r>
        <w:rPr>
          <w:spacing w:val="28"/>
        </w:rPr>
        <w:t> </w:t>
      </w:r>
      <w:r>
        <w:rPr/>
        <w:t>and</w:t>
      </w:r>
      <w:r>
        <w:rPr>
          <w:spacing w:val="29"/>
        </w:rPr>
        <w:t> </w:t>
      </w:r>
      <w:r>
        <w:rPr/>
        <w:t>social</w:t>
      </w:r>
      <w:r>
        <w:rPr>
          <w:spacing w:val="28"/>
        </w:rPr>
        <w:t> </w:t>
      </w:r>
      <w:r>
        <w:rPr/>
        <w:t>development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OAU</w:t>
      </w:r>
      <w:r>
        <w:rPr>
          <w:spacing w:val="28"/>
        </w:rPr>
        <w:t> </w:t>
      </w:r>
      <w:r>
        <w:rPr/>
        <w:t>Member</w:t>
      </w:r>
      <w:r>
        <w:rPr>
          <w:spacing w:val="29"/>
        </w:rPr>
        <w:t> </w:t>
      </w:r>
      <w:r>
        <w:rPr/>
        <w:t>States,</w:t>
      </w:r>
      <w:r>
        <w:rPr>
          <w:spacing w:val="29"/>
        </w:rPr>
        <w:t> </w:t>
      </w:r>
      <w:r>
        <w:rPr/>
        <w:t>without</w:t>
      </w:r>
      <w:r>
        <w:rPr>
          <w:spacing w:val="28"/>
        </w:rPr>
        <w:t> </w:t>
      </w:r>
      <w:r>
        <w:rPr/>
        <w:t>interfering in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/>
        <w:t>internal</w:t>
      </w:r>
      <w:r>
        <w:rPr>
          <w:spacing w:val="31"/>
        </w:rPr>
        <w:t> </w:t>
      </w:r>
      <w:r>
        <w:rPr/>
        <w:t>affairs</w:t>
      </w:r>
      <w:r>
        <w:rPr>
          <w:spacing w:val="32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/>
        <w:t>Member</w:t>
      </w:r>
      <w:r>
        <w:rPr>
          <w:spacing w:val="32"/>
        </w:rPr>
        <w:t> </w:t>
      </w:r>
      <w:r>
        <w:rPr/>
        <w:t>States,</w:t>
      </w:r>
      <w:r>
        <w:rPr>
          <w:spacing w:val="34"/>
        </w:rPr>
        <w:t> </w:t>
      </w:r>
      <w:r>
        <w:rPr/>
        <w:t>and/or</w:t>
      </w:r>
      <w:r>
        <w:rPr>
          <w:spacing w:val="32"/>
        </w:rPr>
        <w:t> </w:t>
      </w:r>
      <w:r>
        <w:rPr/>
        <w:t>projecting</w:t>
      </w:r>
      <w:r>
        <w:rPr>
          <w:spacing w:val="31"/>
        </w:rPr>
        <w:t> </w:t>
      </w:r>
      <w:r>
        <w:rPr/>
        <w:t>extra-continental</w:t>
      </w:r>
      <w:r>
        <w:rPr>
          <w:spacing w:val="20"/>
        </w:rPr>
        <w:t> </w:t>
      </w:r>
      <w:r>
        <w:rPr/>
        <w:t>interests</w:t>
      </w:r>
      <w:r>
        <w:rPr>
          <w:spacing w:val="20"/>
        </w:rPr>
        <w:t> </w:t>
      </w:r>
      <w:r>
        <w:rPr/>
        <w:t>not in conformity with the OAU objectives,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69" w:lineRule="auto" w:before="1"/>
        <w:ind w:left="171" w:right="142" w:firstLine="676"/>
        <w:jc w:val="both"/>
      </w:pPr>
      <w:r>
        <w:rPr>
          <w:b/>
          <w:u w:val="single"/>
        </w:rPr>
        <w:t>Conscious of</w:t>
      </w:r>
      <w:r>
        <w:rPr>
          <w:b/>
        </w:rPr>
        <w:t> </w:t>
      </w:r>
      <w:r>
        <w:rPr/>
        <w:t>the need of collecting the fullest possible information on Non- Governmental Organizations existing in Africa, their constitutions, funding sources and their relationship with the OAU,</w:t>
      </w:r>
    </w:p>
    <w:p>
      <w:pPr>
        <w:pStyle w:val="BodyText"/>
        <w:rPr>
          <w:sz w:val="34"/>
        </w:rPr>
      </w:pPr>
    </w:p>
    <w:p>
      <w:pPr>
        <w:pStyle w:val="BodyText"/>
        <w:spacing w:line="367" w:lineRule="auto"/>
        <w:ind w:left="171" w:right="143" w:firstLine="676"/>
        <w:jc w:val="both"/>
      </w:pPr>
      <w:r>
        <w:rPr>
          <w:b/>
          <w:u w:val="single"/>
        </w:rPr>
        <w:t>Noting</w:t>
      </w:r>
      <w:r>
        <w:rPr>
          <w:b/>
        </w:rPr>
        <w:t> </w:t>
      </w:r>
      <w:r>
        <w:rPr/>
        <w:t>that it is necessary to undertake a study on the criteria and general principles which should govern co-operation between the OAU and the African Non-Governmental </w:t>
      </w:r>
      <w:r>
        <w:rPr>
          <w:spacing w:val="-2"/>
        </w:rPr>
        <w:t>Organizations,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7" w:lineRule="auto" w:before="0" w:after="0"/>
        <w:ind w:left="1184" w:right="143" w:hanging="336"/>
        <w:jc w:val="both"/>
        <w:rPr>
          <w:sz w:val="22"/>
        </w:rPr>
      </w:pPr>
      <w:r>
        <w:rPr>
          <w:b/>
          <w:sz w:val="22"/>
        </w:rPr>
        <w:t>DECIDES </w:t>
      </w:r>
      <w:r>
        <w:rPr>
          <w:sz w:val="22"/>
        </w:rPr>
        <w:t>to refer the consideration of the question regarding the holding of a Conference of African Non-Governmental Organization to the 34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Ordinary</w:t>
      </w:r>
      <w:r>
        <w:rPr>
          <w:spacing w:val="80"/>
          <w:sz w:val="22"/>
          <w:vertAlign w:val="baseline"/>
        </w:rPr>
        <w:t> </w:t>
      </w:r>
      <w:r>
        <w:rPr>
          <w:sz w:val="22"/>
          <w:vertAlign w:val="baseline"/>
        </w:rPr>
        <w:t>Session of the Council of Ministers;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240" w:lineRule="auto" w:before="0" w:after="0"/>
        <w:ind w:left="1184" w:right="0" w:hanging="337"/>
        <w:jc w:val="left"/>
        <w:rPr>
          <w:sz w:val="22"/>
        </w:rPr>
      </w:pPr>
      <w:r>
        <w:rPr>
          <w:b/>
          <w:sz w:val="22"/>
        </w:rPr>
        <w:t>CALLS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Administrative</w:t>
      </w:r>
      <w:r>
        <w:rPr>
          <w:spacing w:val="6"/>
          <w:sz w:val="22"/>
        </w:rPr>
        <w:t> </w:t>
      </w:r>
      <w:r>
        <w:rPr>
          <w:sz w:val="22"/>
        </w:rPr>
        <w:t>Secretary-</w:t>
      </w:r>
      <w:r>
        <w:rPr>
          <w:spacing w:val="-2"/>
          <w:sz w:val="22"/>
        </w:rPr>
        <w:t>General: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1220" w:bottom="280" w:left="1720" w:right="172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69" w:lineRule="auto" w:before="123" w:after="0"/>
        <w:ind w:left="1524" w:right="146" w:hanging="341"/>
        <w:jc w:val="both"/>
        <w:rPr>
          <w:sz w:val="22"/>
        </w:rPr>
      </w:pPr>
      <w:r>
        <w:rPr>
          <w:sz w:val="22"/>
        </w:rPr>
        <w:t>to submit to the 34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Session of the council of Ministers a detailed study</w:t>
      </w:r>
      <w:r>
        <w:rPr>
          <w:spacing w:val="80"/>
          <w:sz w:val="22"/>
          <w:vertAlign w:val="baseline"/>
        </w:rPr>
        <w:t> </w:t>
      </w:r>
      <w:r>
        <w:rPr>
          <w:sz w:val="22"/>
          <w:vertAlign w:val="baseline"/>
        </w:rPr>
        <w:t>defining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general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principles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criteria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governing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co-operation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between the OAU and non-governmental institutions in Africa,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69" w:lineRule="auto" w:before="1" w:after="0"/>
        <w:ind w:left="1524" w:right="146" w:hanging="341"/>
        <w:jc w:val="both"/>
        <w:rPr>
          <w:sz w:val="22"/>
        </w:rPr>
      </w:pPr>
      <w:r>
        <w:rPr>
          <w:sz w:val="22"/>
        </w:rPr>
        <w:t>to collect the fullest possible information on non-Governmental Organizations</w:t>
      </w:r>
      <w:r>
        <w:rPr>
          <w:spacing w:val="80"/>
          <w:sz w:val="22"/>
        </w:rPr>
        <w:t> </w:t>
      </w:r>
      <w:r>
        <w:rPr>
          <w:sz w:val="22"/>
        </w:rPr>
        <w:t>in Africa their constitutions, funding sources and their relationships with the OAU of any other organization of region etc.</w:t>
      </w:r>
    </w:p>
    <w:sectPr>
      <w:pgSz w:w="12240" w:h="15840"/>
      <w:pgMar w:header="701" w:footer="0" w:top="12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4.679993pt;margin-top:34.068241pt;width:104.9pt;height:14.5pt;mso-position-horizontal-relative:page;mso-position-vertical-relative:page;z-index:-15757312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5"/>
                  </w:rPr>
                  <w:t> </w:t>
                </w:r>
                <w:r>
                  <w:rPr/>
                  <w:t>712</w:t>
                </w:r>
                <w:r>
                  <w:rPr>
                    <w:spacing w:val="16"/>
                  </w:rPr>
                  <w:t> </w:t>
                </w:r>
                <w:r>
                  <w:rPr>
                    <w:spacing w:val="-2"/>
                  </w:rPr>
                  <w:t>(XXXII)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524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8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37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6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5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64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73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82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7"/>
      <w:ind w:left="2139" w:right="1666" w:hanging="485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46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THIRTY-SECOND ORDINARY SESSION</dc:title>
  <dcterms:created xsi:type="dcterms:W3CDTF">2023-06-07T09:13:29Z</dcterms:created>
  <dcterms:modified xsi:type="dcterms:W3CDTF">2023-06-07T09:13:29Z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