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0"/>
        <w:ind w:right="1781"/>
        <w:rPr>
          <w:u w:val="none"/>
        </w:rPr>
      </w:pPr>
      <w:r>
        <w:rPr>
          <w:u w:val="single"/>
        </w:rPr>
        <w:t>RESOLUTION</w:t>
      </w:r>
      <w:r>
        <w:rPr>
          <w:spacing w:val="13"/>
          <w:u w:val="single"/>
        </w:rPr>
        <w:t> </w:t>
      </w:r>
      <w:r>
        <w:rPr>
          <w:spacing w:val="-5"/>
          <w:u w:val="single"/>
        </w:rPr>
        <w:t>ON</w:t>
      </w:r>
    </w:p>
    <w:p>
      <w:pPr>
        <w:spacing w:before="136"/>
        <w:ind w:left="1791" w:right="1808" w:firstLine="0"/>
        <w:jc w:val="center"/>
        <w:rPr>
          <w:b/>
          <w:sz w:val="22"/>
        </w:rPr>
      </w:pPr>
      <w:r>
        <w:rPr>
          <w:b/>
          <w:sz w:val="22"/>
          <w:u w:val="single"/>
        </w:rPr>
        <w:t>THE</w:t>
      </w:r>
      <w:r>
        <w:rPr>
          <w:b/>
          <w:spacing w:val="6"/>
          <w:sz w:val="22"/>
          <w:u w:val="single"/>
        </w:rPr>
        <w:t> </w:t>
      </w:r>
      <w:r>
        <w:rPr>
          <w:b/>
          <w:sz w:val="22"/>
          <w:u w:val="single"/>
        </w:rPr>
        <w:t>INTERNATIONAL</w:t>
      </w:r>
      <w:r>
        <w:rPr>
          <w:b/>
          <w:spacing w:val="6"/>
          <w:sz w:val="22"/>
          <w:u w:val="single"/>
        </w:rPr>
        <w:t> </w:t>
      </w:r>
      <w:r>
        <w:rPr>
          <w:b/>
          <w:sz w:val="22"/>
          <w:u w:val="single"/>
        </w:rPr>
        <w:t>YEAR</w:t>
      </w:r>
      <w:r>
        <w:rPr>
          <w:b/>
          <w:spacing w:val="7"/>
          <w:sz w:val="22"/>
          <w:u w:val="single"/>
        </w:rPr>
        <w:t> </w:t>
      </w:r>
      <w:r>
        <w:rPr>
          <w:b/>
          <w:sz w:val="22"/>
          <w:u w:val="single"/>
        </w:rPr>
        <w:t>OF</w:t>
      </w:r>
      <w:r>
        <w:rPr>
          <w:b/>
          <w:spacing w:val="10"/>
          <w:sz w:val="22"/>
          <w:u w:val="single"/>
        </w:rPr>
        <w:t> </w:t>
      </w:r>
      <w:r>
        <w:rPr>
          <w:b/>
          <w:sz w:val="22"/>
          <w:u w:val="single"/>
        </w:rPr>
        <w:t>THE</w:t>
      </w:r>
      <w:r>
        <w:rPr>
          <w:b/>
          <w:spacing w:val="6"/>
          <w:sz w:val="22"/>
          <w:u w:val="single"/>
        </w:rPr>
        <w:t> </w:t>
      </w:r>
      <w:r>
        <w:rPr>
          <w:b/>
          <w:spacing w:val="-2"/>
          <w:sz w:val="22"/>
          <w:u w:val="single"/>
        </w:rPr>
        <w:t>DISABLED</w:t>
      </w:r>
    </w:p>
    <w:p>
      <w:pPr>
        <w:pStyle w:val="BodyText"/>
        <w:rPr>
          <w:b/>
          <w:sz w:val="20"/>
        </w:rPr>
      </w:pPr>
    </w:p>
    <w:p>
      <w:pPr>
        <w:pStyle w:val="BodyText"/>
        <w:spacing w:before="5"/>
        <w:rPr>
          <w:b/>
          <w:sz w:val="16"/>
        </w:rPr>
      </w:pPr>
    </w:p>
    <w:p>
      <w:pPr>
        <w:pStyle w:val="BodyText"/>
        <w:spacing w:line="374" w:lineRule="auto" w:before="96"/>
        <w:ind w:left="171" w:right="142" w:firstLine="676"/>
        <w:jc w:val="both"/>
      </w:pPr>
      <w:r>
        <w:rPr/>
        <w:t>The Council of Ministers of the organization of African Unity meeting in its Thirty- third Ordinary Session in Monrovia, Liberia, from 6 to</w:t>
      </w:r>
      <w:r>
        <w:rPr>
          <w:spacing w:val="40"/>
        </w:rPr>
        <w:t> </w:t>
      </w:r>
      <w:r>
        <w:rPr/>
        <w:t>20 July 1979;</w:t>
      </w:r>
    </w:p>
    <w:p>
      <w:pPr>
        <w:pStyle w:val="BodyText"/>
        <w:spacing w:before="2"/>
        <w:rPr>
          <w:sz w:val="33"/>
        </w:rPr>
      </w:pPr>
    </w:p>
    <w:p>
      <w:pPr>
        <w:pStyle w:val="BodyText"/>
        <w:spacing w:line="369" w:lineRule="auto"/>
        <w:ind w:left="171" w:right="167" w:firstLine="676"/>
        <w:jc w:val="both"/>
      </w:pPr>
      <w:r>
        <w:rPr>
          <w:b/>
          <w:u w:val="single"/>
        </w:rPr>
        <w:t>Recalling</w:t>
      </w:r>
      <w:r>
        <w:rPr>
          <w:b/>
        </w:rPr>
        <w:t> </w:t>
      </w:r>
      <w:r>
        <w:rPr/>
        <w:t>UN General Assembly Resolution 3447 (XXX) of 9 December 1979 which contains the Declaration on the Rights of the Disabled;</w:t>
      </w:r>
    </w:p>
    <w:p>
      <w:pPr>
        <w:pStyle w:val="BodyText"/>
        <w:spacing w:before="8"/>
        <w:rPr>
          <w:sz w:val="33"/>
        </w:rPr>
      </w:pPr>
    </w:p>
    <w:p>
      <w:pPr>
        <w:pStyle w:val="BodyText"/>
        <w:spacing w:line="369" w:lineRule="auto"/>
        <w:ind w:left="171" w:right="165" w:firstLine="676"/>
        <w:jc w:val="both"/>
      </w:pPr>
      <w:r>
        <w:rPr>
          <w:b/>
          <w:u w:val="single"/>
        </w:rPr>
        <w:t>Recalling</w:t>
      </w:r>
      <w:r>
        <w:rPr>
          <w:b/>
          <w:spacing w:val="40"/>
        </w:rPr>
        <w:t> </w:t>
      </w:r>
      <w:r>
        <w:rPr/>
        <w:t>UN</w:t>
      </w:r>
      <w:r>
        <w:rPr>
          <w:spacing w:val="40"/>
        </w:rPr>
        <w:t> </w:t>
      </w:r>
      <w:r>
        <w:rPr/>
        <w:t>General</w:t>
      </w:r>
      <w:r>
        <w:rPr>
          <w:spacing w:val="40"/>
        </w:rPr>
        <w:t> </w:t>
      </w:r>
      <w:r>
        <w:rPr/>
        <w:t>Assembly</w:t>
      </w:r>
      <w:r>
        <w:rPr>
          <w:spacing w:val="40"/>
        </w:rPr>
        <w:t> </w:t>
      </w:r>
      <w:r>
        <w:rPr/>
        <w:t>Resolution</w:t>
      </w:r>
      <w:r>
        <w:rPr>
          <w:spacing w:val="40"/>
        </w:rPr>
        <w:t> </w:t>
      </w:r>
      <w:r>
        <w:rPr/>
        <w:t>31/123</w:t>
      </w:r>
      <w:r>
        <w:rPr>
          <w:spacing w:val="40"/>
        </w:rPr>
        <w:t> </w:t>
      </w:r>
      <w:r>
        <w:rPr/>
        <w:t>of</w:t>
      </w:r>
      <w:r>
        <w:rPr>
          <w:spacing w:val="40"/>
        </w:rPr>
        <w:t> </w:t>
      </w:r>
      <w:r>
        <w:rPr/>
        <w:t>16</w:t>
      </w:r>
      <w:r>
        <w:rPr>
          <w:spacing w:val="40"/>
        </w:rPr>
        <w:t> </w:t>
      </w:r>
      <w:r>
        <w:rPr/>
        <w:t>December</w:t>
      </w:r>
      <w:r>
        <w:rPr>
          <w:spacing w:val="40"/>
        </w:rPr>
        <w:t> </w:t>
      </w:r>
      <w:r>
        <w:rPr/>
        <w:t>1976 designating 1981 as the International year of the Disabled;</w:t>
      </w:r>
    </w:p>
    <w:p>
      <w:pPr>
        <w:pStyle w:val="BodyText"/>
        <w:spacing w:before="1"/>
        <w:rPr>
          <w:sz w:val="34"/>
        </w:rPr>
      </w:pPr>
    </w:p>
    <w:p>
      <w:pPr>
        <w:pStyle w:val="BodyText"/>
        <w:spacing w:line="369" w:lineRule="auto"/>
        <w:ind w:left="171" w:right="167" w:firstLine="676"/>
        <w:jc w:val="both"/>
      </w:pPr>
      <w:r>
        <w:rPr>
          <w:b/>
          <w:u w:val="single"/>
        </w:rPr>
        <w:t>Noting</w:t>
      </w:r>
      <w:r>
        <w:rPr>
          <w:b/>
        </w:rPr>
        <w:t> </w:t>
      </w:r>
      <w:r>
        <w:rPr/>
        <w:t>UN General Assembly Resolution 32/133 of 16 December 1977 and 33/170 of 20 December 1978 on the International Year of the Disabled;</w:t>
      </w:r>
    </w:p>
    <w:p>
      <w:pPr>
        <w:pStyle w:val="BodyText"/>
        <w:spacing w:before="3"/>
        <w:rPr>
          <w:sz w:val="33"/>
        </w:rPr>
      </w:pPr>
    </w:p>
    <w:p>
      <w:pPr>
        <w:pStyle w:val="BodyText"/>
        <w:spacing w:line="374" w:lineRule="auto"/>
        <w:ind w:left="171" w:right="167" w:firstLine="676"/>
        <w:jc w:val="both"/>
      </w:pPr>
      <w:r>
        <w:rPr>
          <w:b/>
          <w:u w:val="single"/>
        </w:rPr>
        <w:t>Recalling</w:t>
      </w:r>
      <w:r>
        <w:rPr>
          <w:b/>
        </w:rPr>
        <w:t> </w:t>
      </w:r>
      <w:r>
        <w:rPr/>
        <w:t>Resolution CM/Res. 594 (XXX) adopted by the Thirtieth Ordinary Session</w:t>
      </w:r>
      <w:r>
        <w:rPr>
          <w:spacing w:val="80"/>
        </w:rPr>
        <w:t> </w:t>
      </w:r>
      <w:r>
        <w:rPr/>
        <w:t>of the OAU Council of Ministers held in Tripoli, Libya, from 20 to 28 February 1978;</w:t>
      </w:r>
    </w:p>
    <w:p>
      <w:pPr>
        <w:pStyle w:val="BodyText"/>
        <w:spacing w:before="2"/>
        <w:rPr>
          <w:sz w:val="33"/>
        </w:rPr>
      </w:pPr>
    </w:p>
    <w:p>
      <w:pPr>
        <w:pStyle w:val="BodyText"/>
        <w:spacing w:line="369" w:lineRule="auto" w:before="1"/>
        <w:ind w:left="171" w:right="151" w:firstLine="676"/>
        <w:jc w:val="both"/>
      </w:pPr>
      <w:r>
        <w:rPr>
          <w:b/>
          <w:u w:val="single"/>
        </w:rPr>
        <w:t>Convinced</w:t>
      </w:r>
      <w:r>
        <w:rPr>
          <w:b/>
          <w:spacing w:val="32"/>
        </w:rPr>
        <w:t> </w:t>
      </w:r>
      <w:r>
        <w:rPr/>
        <w:t>that</w:t>
      </w:r>
      <w:r>
        <w:rPr>
          <w:spacing w:val="26"/>
        </w:rPr>
        <w:t> </w:t>
      </w:r>
      <w:r>
        <w:rPr/>
        <w:t>it</w:t>
      </w:r>
      <w:r>
        <w:rPr>
          <w:spacing w:val="26"/>
        </w:rPr>
        <w:t> </w:t>
      </w:r>
      <w:r>
        <w:rPr/>
        <w:t>is</w:t>
      </w:r>
      <w:r>
        <w:rPr>
          <w:spacing w:val="26"/>
        </w:rPr>
        <w:t> </w:t>
      </w:r>
      <w:r>
        <w:rPr/>
        <w:t>essential</w:t>
      </w:r>
      <w:r>
        <w:rPr>
          <w:spacing w:val="26"/>
        </w:rPr>
        <w:t> </w:t>
      </w:r>
      <w:r>
        <w:rPr/>
        <w:t>that</w:t>
      </w:r>
      <w:r>
        <w:rPr>
          <w:spacing w:val="26"/>
        </w:rPr>
        <w:t> </w:t>
      </w:r>
      <w:r>
        <w:rPr/>
        <w:t>African</w:t>
      </w:r>
      <w:r>
        <w:rPr>
          <w:spacing w:val="26"/>
        </w:rPr>
        <w:t> </w:t>
      </w:r>
      <w:r>
        <w:rPr/>
        <w:t>States</w:t>
      </w:r>
      <w:r>
        <w:rPr>
          <w:spacing w:val="26"/>
        </w:rPr>
        <w:t> </w:t>
      </w:r>
      <w:r>
        <w:rPr/>
        <w:t>continue</w:t>
      </w:r>
      <w:r>
        <w:rPr>
          <w:spacing w:val="26"/>
        </w:rPr>
        <w:t> </w:t>
      </w:r>
      <w:r>
        <w:rPr/>
        <w:t>effectively</w:t>
      </w:r>
      <w:r>
        <w:rPr>
          <w:spacing w:val="26"/>
        </w:rPr>
        <w:t> </w:t>
      </w:r>
      <w:r>
        <w:rPr/>
        <w:t>and</w:t>
      </w:r>
      <w:r>
        <w:rPr>
          <w:spacing w:val="27"/>
        </w:rPr>
        <w:t> </w:t>
      </w:r>
      <w:r>
        <w:rPr/>
        <w:t>adequately to the International Year of the Disabled;</w:t>
      </w:r>
    </w:p>
    <w:p>
      <w:pPr>
        <w:pStyle w:val="BodyText"/>
        <w:spacing w:before="7"/>
        <w:rPr>
          <w:sz w:val="33"/>
        </w:rPr>
      </w:pPr>
    </w:p>
    <w:p>
      <w:pPr>
        <w:pStyle w:val="BodyText"/>
        <w:spacing w:line="369" w:lineRule="auto"/>
        <w:ind w:left="171" w:right="151" w:firstLine="676"/>
        <w:jc w:val="both"/>
      </w:pPr>
      <w:r>
        <w:rPr>
          <w:b/>
          <w:u w:val="single"/>
        </w:rPr>
        <w:t>Convinced</w:t>
      </w:r>
      <w:r>
        <w:rPr>
          <w:b/>
          <w:spacing w:val="40"/>
        </w:rPr>
        <w:t> </w:t>
      </w:r>
      <w:r>
        <w:rPr/>
        <w:t>that</w:t>
      </w:r>
      <w:r>
        <w:rPr>
          <w:spacing w:val="40"/>
        </w:rPr>
        <w:t> </w:t>
      </w:r>
      <w:r>
        <w:rPr/>
        <w:t>the</w:t>
      </w:r>
      <w:r>
        <w:rPr>
          <w:spacing w:val="40"/>
        </w:rPr>
        <w:t> </w:t>
      </w:r>
      <w:r>
        <w:rPr/>
        <w:t>physical</w:t>
      </w:r>
      <w:r>
        <w:rPr>
          <w:spacing w:val="40"/>
        </w:rPr>
        <w:t> </w:t>
      </w:r>
      <w:r>
        <w:rPr/>
        <w:t>and</w:t>
      </w:r>
      <w:r>
        <w:rPr>
          <w:spacing w:val="40"/>
        </w:rPr>
        <w:t> </w:t>
      </w:r>
      <w:r>
        <w:rPr/>
        <w:t>psychological</w:t>
      </w:r>
      <w:r>
        <w:rPr>
          <w:spacing w:val="40"/>
        </w:rPr>
        <w:t> </w:t>
      </w:r>
      <w:r>
        <w:rPr/>
        <w:t>re-adjustment</w:t>
      </w:r>
      <w:r>
        <w:rPr>
          <w:spacing w:val="40"/>
        </w:rPr>
        <w:t> </w:t>
      </w:r>
      <w:r>
        <w:rPr/>
        <w:t>of</w:t>
      </w:r>
      <w:r>
        <w:rPr>
          <w:spacing w:val="40"/>
        </w:rPr>
        <w:t> </w:t>
      </w:r>
      <w:r>
        <w:rPr/>
        <w:t>the</w:t>
      </w:r>
      <w:r>
        <w:rPr>
          <w:spacing w:val="40"/>
        </w:rPr>
        <w:t> </w:t>
      </w:r>
      <w:r>
        <w:rPr/>
        <w:t>disabled</w:t>
      </w:r>
      <w:r>
        <w:rPr>
          <w:spacing w:val="40"/>
        </w:rPr>
        <w:t> </w:t>
      </w:r>
      <w:r>
        <w:rPr/>
        <w:t>to society and their rehabilitation is necessary so that they may take an active part in every day</w:t>
      </w:r>
      <w:r>
        <w:rPr>
          <w:spacing w:val="80"/>
        </w:rPr>
        <w:t> </w:t>
      </w:r>
      <w:r>
        <w:rPr/>
        <w:t>life is an important social matter in Africa:</w:t>
      </w:r>
    </w:p>
    <w:p>
      <w:pPr>
        <w:pStyle w:val="BodyText"/>
        <w:spacing w:before="1"/>
        <w:rPr>
          <w:sz w:val="34"/>
        </w:rPr>
      </w:pPr>
    </w:p>
    <w:p>
      <w:pPr>
        <w:spacing w:before="0"/>
        <w:ind w:left="848" w:right="0" w:firstLine="0"/>
        <w:jc w:val="left"/>
        <w:rPr>
          <w:b/>
          <w:sz w:val="22"/>
        </w:rPr>
      </w:pPr>
      <w:r>
        <w:rPr>
          <w:b/>
          <w:spacing w:val="-2"/>
          <w:sz w:val="22"/>
        </w:rPr>
        <w:t>DECIDES:</w:t>
      </w:r>
    </w:p>
    <w:p>
      <w:pPr>
        <w:pStyle w:val="BodyText"/>
        <w:rPr>
          <w:b/>
          <w:sz w:val="24"/>
        </w:rPr>
      </w:pPr>
    </w:p>
    <w:p>
      <w:pPr>
        <w:pStyle w:val="BodyText"/>
        <w:spacing w:before="2"/>
        <w:rPr>
          <w:b/>
          <w:sz w:val="21"/>
        </w:rPr>
      </w:pPr>
    </w:p>
    <w:p>
      <w:pPr>
        <w:pStyle w:val="ListParagraph"/>
        <w:numPr>
          <w:ilvl w:val="0"/>
          <w:numId w:val="1"/>
        </w:numPr>
        <w:tabs>
          <w:tab w:pos="1185" w:val="left" w:leader="none"/>
        </w:tabs>
        <w:spacing w:line="374" w:lineRule="auto" w:before="0" w:after="0"/>
        <w:ind w:left="1184" w:right="140" w:hanging="336"/>
        <w:jc w:val="both"/>
        <w:rPr>
          <w:sz w:val="22"/>
        </w:rPr>
      </w:pPr>
      <w:r>
        <w:rPr>
          <w:b/>
          <w:sz w:val="22"/>
        </w:rPr>
        <w:t>TO SUPPORT</w:t>
      </w:r>
      <w:r>
        <w:rPr>
          <w:b/>
          <w:spacing w:val="40"/>
          <w:sz w:val="22"/>
        </w:rPr>
        <w:t> </w:t>
      </w:r>
      <w:r>
        <w:rPr>
          <w:sz w:val="22"/>
        </w:rPr>
        <w:t>the International Year of the disabled and the United Nations</w:t>
      </w:r>
      <w:r>
        <w:rPr>
          <w:spacing w:val="40"/>
          <w:sz w:val="22"/>
        </w:rPr>
        <w:t> </w:t>
      </w:r>
      <w:r>
        <w:rPr>
          <w:sz w:val="22"/>
        </w:rPr>
        <w:t>efforts towards its success;</w:t>
      </w:r>
    </w:p>
    <w:p>
      <w:pPr>
        <w:pStyle w:val="BodyText"/>
        <w:spacing w:before="2"/>
        <w:rPr>
          <w:sz w:val="33"/>
        </w:rPr>
      </w:pPr>
    </w:p>
    <w:p>
      <w:pPr>
        <w:pStyle w:val="ListParagraph"/>
        <w:numPr>
          <w:ilvl w:val="0"/>
          <w:numId w:val="1"/>
        </w:numPr>
        <w:tabs>
          <w:tab w:pos="1185" w:val="left" w:leader="none"/>
        </w:tabs>
        <w:spacing w:line="369" w:lineRule="auto" w:before="1" w:after="0"/>
        <w:ind w:left="1183" w:right="164" w:hanging="336"/>
        <w:jc w:val="both"/>
        <w:rPr>
          <w:sz w:val="22"/>
        </w:rPr>
      </w:pPr>
      <w:r>
        <w:rPr>
          <w:b/>
          <w:sz w:val="22"/>
        </w:rPr>
        <w:t>TO URGE </w:t>
      </w:r>
      <w:r>
        <w:rPr>
          <w:sz w:val="22"/>
        </w:rPr>
        <w:t>Member States to seek the welfare of the disabled, take the necessary measures towards effective contributions to and adequate observance of the International Year of the Disabled and report to the General Secretariat thereon;</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7" w:lineRule="auto" w:before="85" w:after="0"/>
        <w:ind w:left="1184" w:right="152" w:hanging="336"/>
        <w:jc w:val="both"/>
        <w:rPr>
          <w:sz w:val="22"/>
        </w:rPr>
      </w:pPr>
      <w:r>
        <w:rPr>
          <w:b/>
          <w:sz w:val="22"/>
        </w:rPr>
        <w:t>TO CONSIDER </w:t>
      </w:r>
      <w:r>
        <w:rPr>
          <w:sz w:val="22"/>
        </w:rPr>
        <w:t>the possibility of convening regional African meetings or symposium to discuss the best ways and means of realizing the aims of the International Year of the Disabled and the Principles of the Declaration on the Rights of the Disabled;</w:t>
      </w:r>
    </w:p>
    <w:p>
      <w:pPr>
        <w:pStyle w:val="BodyText"/>
        <w:spacing w:before="5"/>
        <w:rPr>
          <w:sz w:val="34"/>
        </w:rPr>
      </w:pPr>
    </w:p>
    <w:p>
      <w:pPr>
        <w:pStyle w:val="ListParagraph"/>
        <w:numPr>
          <w:ilvl w:val="0"/>
          <w:numId w:val="1"/>
        </w:numPr>
        <w:tabs>
          <w:tab w:pos="1185" w:val="left" w:leader="none"/>
        </w:tabs>
        <w:spacing w:line="369" w:lineRule="auto" w:before="0" w:after="0"/>
        <w:ind w:left="1183" w:right="155" w:hanging="336"/>
        <w:jc w:val="both"/>
        <w:rPr>
          <w:sz w:val="22"/>
        </w:rPr>
      </w:pPr>
      <w:r>
        <w:rPr>
          <w:b/>
          <w:sz w:val="22"/>
        </w:rPr>
        <w:t>TO REQUEST </w:t>
      </w:r>
      <w:r>
        <w:rPr>
          <w:sz w:val="22"/>
        </w:rPr>
        <w:t>the Secretary-General to draw up a detailed report on the implementation</w:t>
      </w:r>
      <w:r>
        <w:rPr>
          <w:spacing w:val="7"/>
          <w:sz w:val="22"/>
        </w:rPr>
        <w:t> </w:t>
      </w:r>
      <w:r>
        <w:rPr>
          <w:sz w:val="22"/>
        </w:rPr>
        <w:t>of</w:t>
      </w:r>
      <w:r>
        <w:rPr>
          <w:spacing w:val="22"/>
          <w:sz w:val="22"/>
        </w:rPr>
        <w:t> </w:t>
      </w:r>
      <w:r>
        <w:rPr>
          <w:sz w:val="22"/>
        </w:rPr>
        <w:t>this</w:t>
      </w:r>
      <w:r>
        <w:rPr>
          <w:spacing w:val="22"/>
          <w:sz w:val="22"/>
        </w:rPr>
        <w:t> </w:t>
      </w:r>
      <w:r>
        <w:rPr>
          <w:sz w:val="22"/>
        </w:rPr>
        <w:t>resolution</w:t>
      </w:r>
      <w:r>
        <w:rPr>
          <w:spacing w:val="22"/>
          <w:sz w:val="22"/>
        </w:rPr>
        <w:t> </w:t>
      </w:r>
      <w:r>
        <w:rPr>
          <w:sz w:val="22"/>
        </w:rPr>
        <w:t>and</w:t>
      </w:r>
      <w:r>
        <w:rPr>
          <w:spacing w:val="25"/>
          <w:sz w:val="22"/>
        </w:rPr>
        <w:t> </w:t>
      </w:r>
      <w:r>
        <w:rPr>
          <w:sz w:val="22"/>
        </w:rPr>
        <w:t>submit</w:t>
      </w:r>
      <w:r>
        <w:rPr>
          <w:spacing w:val="22"/>
          <w:sz w:val="22"/>
        </w:rPr>
        <w:t> </w:t>
      </w:r>
      <w:r>
        <w:rPr>
          <w:sz w:val="22"/>
        </w:rPr>
        <w:t>it</w:t>
      </w:r>
      <w:r>
        <w:rPr>
          <w:spacing w:val="22"/>
          <w:sz w:val="22"/>
        </w:rPr>
        <w:t> </w:t>
      </w:r>
      <w:r>
        <w:rPr>
          <w:sz w:val="22"/>
        </w:rPr>
        <w:t>to</w:t>
      </w:r>
      <w:r>
        <w:rPr>
          <w:spacing w:val="25"/>
          <w:sz w:val="22"/>
        </w:rPr>
        <w:t> </w:t>
      </w:r>
      <w:r>
        <w:rPr>
          <w:sz w:val="22"/>
        </w:rPr>
        <w:t>the</w:t>
      </w:r>
      <w:r>
        <w:rPr>
          <w:spacing w:val="24"/>
          <w:sz w:val="22"/>
        </w:rPr>
        <w:t> </w:t>
      </w:r>
      <w:r>
        <w:rPr>
          <w:sz w:val="22"/>
        </w:rPr>
        <w:t>34</w:t>
      </w:r>
      <w:r>
        <w:rPr>
          <w:spacing w:val="-14"/>
          <w:sz w:val="22"/>
        </w:rPr>
        <w:t> </w:t>
      </w:r>
      <w:r>
        <w:rPr>
          <w:sz w:val="22"/>
          <w:vertAlign w:val="superscript"/>
        </w:rPr>
        <w:t>th</w:t>
      </w:r>
      <w:r>
        <w:rPr>
          <w:spacing w:val="19"/>
          <w:sz w:val="22"/>
          <w:vertAlign w:val="baseline"/>
        </w:rPr>
        <w:t> </w:t>
      </w:r>
      <w:r>
        <w:rPr>
          <w:sz w:val="22"/>
          <w:vertAlign w:val="baseline"/>
        </w:rPr>
        <w:t>Session</w:t>
      </w:r>
      <w:r>
        <w:rPr>
          <w:spacing w:val="19"/>
          <w:sz w:val="22"/>
          <w:vertAlign w:val="baseline"/>
        </w:rPr>
        <w:t> </w:t>
      </w:r>
      <w:r>
        <w:rPr>
          <w:sz w:val="22"/>
          <w:vertAlign w:val="baseline"/>
        </w:rPr>
        <w:t>of</w:t>
      </w:r>
      <w:r>
        <w:rPr>
          <w:spacing w:val="19"/>
          <w:sz w:val="22"/>
          <w:vertAlign w:val="baseline"/>
        </w:rPr>
        <w:t> </w:t>
      </w:r>
      <w:r>
        <w:rPr>
          <w:sz w:val="22"/>
          <w:vertAlign w:val="baseline"/>
        </w:rPr>
        <w:t>the</w:t>
      </w:r>
      <w:r>
        <w:rPr>
          <w:spacing w:val="19"/>
          <w:sz w:val="22"/>
          <w:vertAlign w:val="baseline"/>
        </w:rPr>
        <w:t> </w:t>
      </w:r>
      <w:r>
        <w:rPr>
          <w:sz w:val="22"/>
          <w:vertAlign w:val="baseline"/>
        </w:rPr>
        <w:t>Council of Ministers;</w:t>
      </w:r>
    </w:p>
    <w:p>
      <w:pPr>
        <w:pStyle w:val="BodyText"/>
        <w:spacing w:before="7"/>
        <w:rPr>
          <w:sz w:val="33"/>
        </w:rPr>
      </w:pPr>
    </w:p>
    <w:p>
      <w:pPr>
        <w:pStyle w:val="ListParagraph"/>
        <w:numPr>
          <w:ilvl w:val="0"/>
          <w:numId w:val="1"/>
        </w:numPr>
        <w:tabs>
          <w:tab w:pos="1185" w:val="left" w:leader="none"/>
        </w:tabs>
        <w:spacing w:line="369" w:lineRule="auto" w:before="0" w:after="0"/>
        <w:ind w:left="1184" w:right="154" w:hanging="336"/>
        <w:jc w:val="both"/>
        <w:rPr>
          <w:sz w:val="22"/>
        </w:rPr>
      </w:pPr>
      <w:r>
        <w:rPr>
          <w:b/>
          <w:sz w:val="22"/>
        </w:rPr>
        <w:t>TO INCLUDE </w:t>
      </w:r>
      <w:r>
        <w:rPr>
          <w:sz w:val="22"/>
        </w:rPr>
        <w:t>the Item in the agenda of the 34</w:t>
      </w:r>
      <w:r>
        <w:rPr>
          <w:sz w:val="22"/>
          <w:vertAlign w:val="superscript"/>
        </w:rPr>
        <w:t>th</w:t>
      </w:r>
      <w:r>
        <w:rPr>
          <w:sz w:val="22"/>
          <w:vertAlign w:val="baseline"/>
        </w:rPr>
        <w:t> Session of the OAU Council of </w:t>
      </w:r>
      <w:r>
        <w:rPr>
          <w:spacing w:val="-2"/>
          <w:sz w:val="22"/>
          <w:vertAlign w:val="baseline"/>
        </w:rPr>
        <w:t>Ministers.</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60896" type="#_x0000_t202" id="docshape1" filled="false" stroked="false">
          <v:textbox inset="0,0,0,0">
            <w:txbxContent>
              <w:p>
                <w:pPr>
                  <w:pStyle w:val="BodyText"/>
                  <w:spacing w:before="15"/>
                  <w:ind w:left="20"/>
                </w:pPr>
                <w:r>
                  <w:rPr/>
                  <w:t>CM/Res.</w:t>
                </w:r>
                <w:r>
                  <w:rPr>
                    <w:spacing w:val="13"/>
                  </w:rPr>
                  <w:t> </w:t>
                </w:r>
                <w:r>
                  <w:rPr/>
                  <w:t>724</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7"/>
      </w:pPr>
      <w:rPr>
        <w:rFonts w:hint="default"/>
        <w:lang w:val="en-US" w:eastAsia="en-US" w:bidi="ar-SA"/>
      </w:rPr>
    </w:lvl>
    <w:lvl w:ilvl="2">
      <w:start w:val="0"/>
      <w:numFmt w:val="bullet"/>
      <w:lvlText w:val="•"/>
      <w:lvlJc w:val="left"/>
      <w:pPr>
        <w:ind w:left="2704" w:hanging="337"/>
      </w:pPr>
      <w:rPr>
        <w:rFonts w:hint="default"/>
        <w:lang w:val="en-US" w:eastAsia="en-US" w:bidi="ar-SA"/>
      </w:rPr>
    </w:lvl>
    <w:lvl w:ilvl="3">
      <w:start w:val="0"/>
      <w:numFmt w:val="bullet"/>
      <w:lvlText w:val="•"/>
      <w:lvlJc w:val="left"/>
      <w:pPr>
        <w:ind w:left="3466" w:hanging="337"/>
      </w:pPr>
      <w:rPr>
        <w:rFonts w:hint="default"/>
        <w:lang w:val="en-US" w:eastAsia="en-US" w:bidi="ar-SA"/>
      </w:rPr>
    </w:lvl>
    <w:lvl w:ilvl="4">
      <w:start w:val="0"/>
      <w:numFmt w:val="bullet"/>
      <w:lvlText w:val="•"/>
      <w:lvlJc w:val="left"/>
      <w:pPr>
        <w:ind w:left="4228" w:hanging="337"/>
      </w:pPr>
      <w:rPr>
        <w:rFonts w:hint="default"/>
        <w:lang w:val="en-US" w:eastAsia="en-US" w:bidi="ar-SA"/>
      </w:rPr>
    </w:lvl>
    <w:lvl w:ilvl="5">
      <w:start w:val="0"/>
      <w:numFmt w:val="bullet"/>
      <w:lvlText w:val="•"/>
      <w:lvlJc w:val="left"/>
      <w:pPr>
        <w:ind w:left="4990" w:hanging="337"/>
      </w:pPr>
      <w:rPr>
        <w:rFonts w:hint="default"/>
        <w:lang w:val="en-US" w:eastAsia="en-US" w:bidi="ar-SA"/>
      </w:rPr>
    </w:lvl>
    <w:lvl w:ilvl="6">
      <w:start w:val="0"/>
      <w:numFmt w:val="bullet"/>
      <w:lvlText w:val="•"/>
      <w:lvlJc w:val="left"/>
      <w:pPr>
        <w:ind w:left="5752" w:hanging="337"/>
      </w:pPr>
      <w:rPr>
        <w:rFonts w:hint="default"/>
        <w:lang w:val="en-US" w:eastAsia="en-US" w:bidi="ar-SA"/>
      </w:rPr>
    </w:lvl>
    <w:lvl w:ilvl="7">
      <w:start w:val="0"/>
      <w:numFmt w:val="bullet"/>
      <w:lvlText w:val="•"/>
      <w:lvlJc w:val="left"/>
      <w:pPr>
        <w:ind w:left="6514" w:hanging="337"/>
      </w:pPr>
      <w:rPr>
        <w:rFonts w:hint="default"/>
        <w:lang w:val="en-US" w:eastAsia="en-US" w:bidi="ar-SA"/>
      </w:rPr>
    </w:lvl>
    <w:lvl w:ilvl="8">
      <w:start w:val="0"/>
      <w:numFmt w:val="bullet"/>
      <w:lvlText w:val="•"/>
      <w:lvlJc w:val="left"/>
      <w:pPr>
        <w:ind w:left="7276"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791"/>
      <w:jc w:val="center"/>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0"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2023-06-07T09:14:00Z</dcterms:created>
  <dcterms:modified xsi:type="dcterms:W3CDTF">2023-06-07T09:14:00Z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