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spacing w:val="-2"/>
          <w:u w:val="single"/>
        </w:rPr>
        <w:t>RESOLUTION</w:t>
      </w:r>
    </w:p>
    <w:p>
      <w:pPr>
        <w:pStyle w:val="Title"/>
        <w:spacing w:before="136"/>
        <w:ind w:left="2555"/>
        <w:rPr>
          <w:u w:val="none"/>
        </w:rPr>
      </w:pPr>
      <w:r>
        <w:rPr>
          <w:u w:val="single"/>
        </w:rPr>
        <w:t>ON</w:t>
      </w:r>
      <w:r>
        <w:rPr>
          <w:spacing w:val="8"/>
          <w:u w:val="single"/>
        </w:rPr>
        <w:t> </w:t>
      </w:r>
      <w:r>
        <w:rPr>
          <w:u w:val="single"/>
        </w:rPr>
        <w:t>THE</w:t>
      </w:r>
      <w:r>
        <w:rPr>
          <w:spacing w:val="8"/>
          <w:u w:val="single"/>
        </w:rPr>
        <w:t> </w:t>
      </w:r>
      <w:r>
        <w:rPr>
          <w:u w:val="single"/>
        </w:rPr>
        <w:t>MIDDLE</w:t>
      </w:r>
      <w:r>
        <w:rPr>
          <w:spacing w:val="9"/>
          <w:u w:val="single"/>
        </w:rPr>
        <w:t> </w:t>
      </w:r>
      <w:r>
        <w:rPr>
          <w:u w:val="single"/>
        </w:rPr>
        <w:t>EAST</w:t>
      </w:r>
      <w:r>
        <w:rPr>
          <w:spacing w:val="8"/>
          <w:u w:val="single"/>
        </w:rPr>
        <w:t> </w:t>
      </w:r>
      <w:r>
        <w:rPr>
          <w:spacing w:val="-2"/>
          <w:u w:val="single"/>
        </w:rPr>
        <w:t>QUESTION</w:t>
      </w:r>
    </w:p>
    <w:p>
      <w:pPr>
        <w:pStyle w:val="BodyText"/>
        <w:rPr>
          <w:b/>
          <w:sz w:val="20"/>
        </w:rPr>
      </w:pPr>
    </w:p>
    <w:p>
      <w:pPr>
        <w:pStyle w:val="BodyText"/>
        <w:spacing w:before="5"/>
        <w:rPr>
          <w:b/>
          <w:sz w:val="16"/>
        </w:rPr>
      </w:pPr>
    </w:p>
    <w:p>
      <w:pPr>
        <w:pStyle w:val="BodyText"/>
        <w:spacing w:line="374" w:lineRule="auto" w:before="96"/>
        <w:ind w:left="171" w:right="142" w:firstLine="676"/>
        <w:jc w:val="both"/>
      </w:pPr>
      <w:r>
        <w:rPr/>
        <w:t>The Council of Ministers of the organization of African Unity meeting in its Thirty- third Ordinary Session in Monrovia, Liberia, from 6 to 20 July 1979;</w:t>
      </w:r>
    </w:p>
    <w:p>
      <w:pPr>
        <w:pStyle w:val="BodyText"/>
        <w:spacing w:before="2"/>
        <w:rPr>
          <w:sz w:val="33"/>
        </w:rPr>
      </w:pPr>
    </w:p>
    <w:p>
      <w:pPr>
        <w:pStyle w:val="BodyText"/>
        <w:spacing w:line="369" w:lineRule="auto"/>
        <w:ind w:left="171" w:right="143" w:firstLine="676"/>
        <w:jc w:val="both"/>
      </w:pPr>
      <w:r>
        <w:rPr>
          <w:b/>
          <w:u w:val="single"/>
        </w:rPr>
        <w:t>Having taken cognisance</w:t>
      </w:r>
      <w:r>
        <w:rPr>
          <w:b/>
        </w:rPr>
        <w:t> </w:t>
      </w:r>
      <w:r>
        <w:rPr/>
        <w:t>of the report of the OAU Secretary-General on the development in the Middle East Question document CM/972 (XXXIII) Rev. 1,</w:t>
      </w:r>
    </w:p>
    <w:p>
      <w:pPr>
        <w:pStyle w:val="BodyText"/>
        <w:spacing w:before="8"/>
        <w:rPr>
          <w:sz w:val="33"/>
        </w:rPr>
      </w:pPr>
    </w:p>
    <w:p>
      <w:pPr>
        <w:pStyle w:val="BodyText"/>
        <w:spacing w:line="369" w:lineRule="auto"/>
        <w:ind w:left="171" w:right="154" w:firstLine="676"/>
        <w:jc w:val="both"/>
      </w:pPr>
      <w:r>
        <w:rPr>
          <w:b/>
          <w:u w:val="single"/>
        </w:rPr>
        <w:t>Having heard</w:t>
      </w:r>
      <w:r>
        <w:rPr>
          <w:b/>
          <w:spacing w:val="40"/>
        </w:rPr>
        <w:t> </w:t>
      </w:r>
      <w:r>
        <w:rPr/>
        <w:t>the statements by the various delegations on the development</w:t>
      </w:r>
      <w:r>
        <w:rPr>
          <w:spacing w:val="40"/>
        </w:rPr>
        <w:t> </w:t>
      </w:r>
      <w:r>
        <w:rPr/>
        <w:t>concerning the Middle East question;</w:t>
      </w:r>
    </w:p>
    <w:p>
      <w:pPr>
        <w:pStyle w:val="BodyText"/>
        <w:spacing w:before="1"/>
        <w:rPr>
          <w:sz w:val="34"/>
        </w:rPr>
      </w:pPr>
    </w:p>
    <w:p>
      <w:pPr>
        <w:pStyle w:val="BodyText"/>
        <w:spacing w:line="367" w:lineRule="auto"/>
        <w:ind w:left="171" w:right="154" w:firstLine="676"/>
        <w:jc w:val="both"/>
      </w:pPr>
      <w:r>
        <w:rPr>
          <w:b/>
          <w:u w:val="single"/>
        </w:rPr>
        <w:t>Guided</w:t>
      </w:r>
      <w:r>
        <w:rPr>
          <w:b/>
          <w:spacing w:val="40"/>
        </w:rPr>
        <w:t> </w:t>
      </w:r>
      <w:r>
        <w:rPr/>
        <w:t>by the principles and objectives of the OAU and UN Charters, and the</w:t>
      </w:r>
      <w:r>
        <w:rPr>
          <w:spacing w:val="80"/>
        </w:rPr>
        <w:t> </w:t>
      </w:r>
      <w:r>
        <w:rPr/>
        <w:t>common destiny of African-Arab people and their joint struggle for freedom, progress and </w:t>
      </w:r>
      <w:r>
        <w:rPr>
          <w:spacing w:val="-2"/>
        </w:rPr>
        <w:t>peace,</w:t>
      </w:r>
    </w:p>
    <w:p>
      <w:pPr>
        <w:pStyle w:val="BodyText"/>
        <w:spacing w:before="3"/>
        <w:rPr>
          <w:sz w:val="34"/>
        </w:rPr>
      </w:pPr>
    </w:p>
    <w:p>
      <w:pPr>
        <w:pStyle w:val="BodyText"/>
        <w:spacing w:line="369" w:lineRule="auto"/>
        <w:ind w:left="171" w:right="157" w:firstLine="676"/>
        <w:jc w:val="both"/>
      </w:pPr>
      <w:r>
        <w:rPr>
          <w:b/>
          <w:u w:val="single"/>
        </w:rPr>
        <w:t>Recalling</w:t>
      </w:r>
      <w:r>
        <w:rPr>
          <w:b/>
        </w:rPr>
        <w:t> </w:t>
      </w:r>
      <w:r>
        <w:rPr/>
        <w:t>the successive resolutions adopted at previous sessions of the OAU</w:t>
      </w:r>
      <w:r>
        <w:rPr>
          <w:spacing w:val="80"/>
        </w:rPr>
        <w:t> </w:t>
      </w:r>
      <w:r>
        <w:rPr/>
        <w:t>Assembly</w:t>
      </w:r>
      <w:r>
        <w:rPr>
          <w:spacing w:val="40"/>
        </w:rPr>
        <w:t> </w:t>
      </w:r>
      <w:r>
        <w:rPr/>
        <w:t>of</w:t>
      </w:r>
      <w:r>
        <w:rPr>
          <w:spacing w:val="40"/>
        </w:rPr>
        <w:t> </w:t>
      </w:r>
      <w:r>
        <w:rPr/>
        <w:t>Heads</w:t>
      </w:r>
      <w:r>
        <w:rPr>
          <w:spacing w:val="40"/>
        </w:rPr>
        <w:t> </w:t>
      </w:r>
      <w:r>
        <w:rPr/>
        <w:t>of</w:t>
      </w:r>
      <w:r>
        <w:rPr>
          <w:spacing w:val="40"/>
        </w:rPr>
        <w:t> </w:t>
      </w:r>
      <w:r>
        <w:rPr/>
        <w:t>State</w:t>
      </w:r>
      <w:r>
        <w:rPr>
          <w:spacing w:val="40"/>
        </w:rPr>
        <w:t> </w:t>
      </w:r>
      <w:r>
        <w:rPr/>
        <w:t>and</w:t>
      </w:r>
      <w:r>
        <w:rPr>
          <w:spacing w:val="40"/>
        </w:rPr>
        <w:t> </w:t>
      </w:r>
      <w:r>
        <w:rPr/>
        <w:t>Government</w:t>
      </w:r>
      <w:r>
        <w:rPr>
          <w:spacing w:val="40"/>
        </w:rPr>
        <w:t> </w:t>
      </w:r>
      <w:r>
        <w:rPr/>
        <w:t>and</w:t>
      </w:r>
      <w:r>
        <w:rPr>
          <w:spacing w:val="40"/>
        </w:rPr>
        <w:t> </w:t>
      </w:r>
      <w:r>
        <w:rPr/>
        <w:t>the</w:t>
      </w:r>
      <w:r>
        <w:rPr>
          <w:spacing w:val="40"/>
        </w:rPr>
        <w:t> </w:t>
      </w:r>
      <w:r>
        <w:rPr/>
        <w:t>Council</w:t>
      </w:r>
      <w:r>
        <w:rPr>
          <w:spacing w:val="40"/>
        </w:rPr>
        <w:t> </w:t>
      </w:r>
      <w:r>
        <w:rPr/>
        <w:t>of</w:t>
      </w:r>
      <w:r>
        <w:rPr>
          <w:spacing w:val="40"/>
        </w:rPr>
        <w:t> </w:t>
      </w:r>
      <w:r>
        <w:rPr/>
        <w:t>Ministers</w:t>
      </w:r>
      <w:r>
        <w:rPr>
          <w:spacing w:val="40"/>
        </w:rPr>
        <w:t> </w:t>
      </w:r>
      <w:r>
        <w:rPr/>
        <w:t>on</w:t>
      </w:r>
      <w:r>
        <w:rPr>
          <w:spacing w:val="40"/>
        </w:rPr>
        <w:t> </w:t>
      </w:r>
      <w:r>
        <w:rPr/>
        <w:t>the</w:t>
      </w:r>
      <w:r>
        <w:rPr>
          <w:spacing w:val="40"/>
        </w:rPr>
        <w:t> </w:t>
      </w:r>
      <w:r>
        <w:rPr/>
        <w:t>Middle East and Palestinian issue,</w:t>
      </w:r>
    </w:p>
    <w:p>
      <w:pPr>
        <w:pStyle w:val="BodyText"/>
        <w:spacing w:before="7"/>
        <w:rPr>
          <w:sz w:val="33"/>
        </w:rPr>
      </w:pPr>
    </w:p>
    <w:p>
      <w:pPr>
        <w:pStyle w:val="BodyText"/>
        <w:spacing w:line="369" w:lineRule="auto"/>
        <w:ind w:left="171" w:right="147" w:firstLine="676"/>
        <w:jc w:val="both"/>
      </w:pPr>
      <w:r>
        <w:rPr>
          <w:b/>
          <w:u w:val="single"/>
        </w:rPr>
        <w:t>Noting</w:t>
      </w:r>
      <w:r>
        <w:rPr>
          <w:b/>
          <w:spacing w:val="40"/>
          <w:u w:val="single"/>
        </w:rPr>
        <w:t> </w:t>
      </w:r>
      <w:r>
        <w:rPr>
          <w:b/>
          <w:u w:val="single"/>
        </w:rPr>
        <w:t>with</w:t>
      </w:r>
      <w:r>
        <w:rPr>
          <w:b/>
          <w:spacing w:val="40"/>
          <w:u w:val="single"/>
        </w:rPr>
        <w:t> </w:t>
      </w:r>
      <w:r>
        <w:rPr>
          <w:b/>
          <w:u w:val="single"/>
        </w:rPr>
        <w:t>deep</w:t>
      </w:r>
      <w:r>
        <w:rPr>
          <w:b/>
          <w:spacing w:val="40"/>
          <w:u w:val="single"/>
        </w:rPr>
        <w:t> </w:t>
      </w:r>
      <w:r>
        <w:rPr>
          <w:b/>
          <w:u w:val="single"/>
        </w:rPr>
        <w:t>concern</w:t>
      </w:r>
      <w:r>
        <w:rPr>
          <w:b/>
          <w:spacing w:val="40"/>
        </w:rPr>
        <w:t> </w:t>
      </w:r>
      <w:r>
        <w:rPr/>
        <w:t>the</w:t>
      </w:r>
      <w:r>
        <w:rPr>
          <w:spacing w:val="40"/>
        </w:rPr>
        <w:t> </w:t>
      </w:r>
      <w:r>
        <w:rPr/>
        <w:t>explosive</w:t>
      </w:r>
      <w:r>
        <w:rPr>
          <w:spacing w:val="40"/>
        </w:rPr>
        <w:t> </w:t>
      </w:r>
      <w:r>
        <w:rPr/>
        <w:t>and</w:t>
      </w:r>
      <w:r>
        <w:rPr>
          <w:spacing w:val="40"/>
        </w:rPr>
        <w:t> </w:t>
      </w:r>
      <w:r>
        <w:rPr/>
        <w:t>dangerous</w:t>
      </w:r>
      <w:r>
        <w:rPr>
          <w:spacing w:val="40"/>
        </w:rPr>
        <w:t> </w:t>
      </w:r>
      <w:r>
        <w:rPr/>
        <w:t>situation</w:t>
      </w:r>
      <w:r>
        <w:rPr>
          <w:spacing w:val="40"/>
        </w:rPr>
        <w:t> </w:t>
      </w:r>
      <w:r>
        <w:rPr/>
        <w:t>in</w:t>
      </w:r>
      <w:r>
        <w:rPr>
          <w:spacing w:val="40"/>
        </w:rPr>
        <w:t> </w:t>
      </w:r>
      <w:r>
        <w:rPr/>
        <w:t>the</w:t>
      </w:r>
      <w:r>
        <w:rPr>
          <w:spacing w:val="40"/>
        </w:rPr>
        <w:t> </w:t>
      </w:r>
      <w:r>
        <w:rPr/>
        <w:t>area</w:t>
      </w:r>
      <w:r>
        <w:rPr>
          <w:spacing w:val="40"/>
        </w:rPr>
        <w:t> </w:t>
      </w:r>
      <w:r>
        <w:rPr/>
        <w:t>as</w:t>
      </w:r>
      <w:r>
        <w:rPr>
          <w:spacing w:val="40"/>
        </w:rPr>
        <w:t> </w:t>
      </w:r>
      <w:r>
        <w:rPr/>
        <w:t>a result of the continuous occupation by Israel of Arab territories and of its denial of the</w:t>
      </w:r>
      <w:r>
        <w:rPr>
          <w:spacing w:val="40"/>
        </w:rPr>
        <w:t> </w:t>
      </w:r>
      <w:r>
        <w:rPr/>
        <w:t>legitimate rights of the Palestinian people to return to their homeland, to self-determination to the</w:t>
      </w:r>
      <w:r>
        <w:rPr>
          <w:spacing w:val="22"/>
        </w:rPr>
        <w:t> </w:t>
      </w:r>
      <w:r>
        <w:rPr/>
        <w:t>establishment</w:t>
      </w:r>
      <w:r>
        <w:rPr>
          <w:spacing w:val="21"/>
        </w:rPr>
        <w:t> </w:t>
      </w:r>
      <w:r>
        <w:rPr/>
        <w:t>of</w:t>
      </w:r>
      <w:r>
        <w:rPr>
          <w:spacing w:val="21"/>
        </w:rPr>
        <w:t> </w:t>
      </w:r>
      <w:r>
        <w:rPr/>
        <w:t>its</w:t>
      </w:r>
      <w:r>
        <w:rPr>
          <w:spacing w:val="21"/>
        </w:rPr>
        <w:t> </w:t>
      </w:r>
      <w:r>
        <w:rPr/>
        <w:t>own</w:t>
      </w:r>
      <w:r>
        <w:rPr>
          <w:spacing w:val="21"/>
        </w:rPr>
        <w:t> </w:t>
      </w:r>
      <w:r>
        <w:rPr/>
        <w:t>independent</w:t>
      </w:r>
      <w:r>
        <w:rPr>
          <w:spacing w:val="21"/>
        </w:rPr>
        <w:t> </w:t>
      </w:r>
      <w:r>
        <w:rPr/>
        <w:t>state</w:t>
      </w:r>
      <w:r>
        <w:rPr>
          <w:spacing w:val="22"/>
        </w:rPr>
        <w:t> </w:t>
      </w:r>
      <w:r>
        <w:rPr/>
        <w:t>in</w:t>
      </w:r>
      <w:r>
        <w:rPr>
          <w:spacing w:val="21"/>
        </w:rPr>
        <w:t> </w:t>
      </w:r>
      <w:r>
        <w:rPr/>
        <w:t>Palestine,</w:t>
      </w:r>
      <w:r>
        <w:rPr>
          <w:spacing w:val="24"/>
        </w:rPr>
        <w:t> </w:t>
      </w:r>
      <w:r>
        <w:rPr/>
        <w:t>of</w:t>
      </w:r>
      <w:r>
        <w:rPr>
          <w:spacing w:val="21"/>
        </w:rPr>
        <w:t> </w:t>
      </w:r>
      <w:r>
        <w:rPr/>
        <w:t>Israel’s</w:t>
      </w:r>
      <w:r>
        <w:rPr>
          <w:spacing w:val="18"/>
        </w:rPr>
        <w:t> </w:t>
      </w:r>
      <w:r>
        <w:rPr/>
        <w:t>persistence</w:t>
      </w:r>
      <w:r>
        <w:rPr>
          <w:spacing w:val="18"/>
        </w:rPr>
        <w:t> </w:t>
      </w:r>
      <w:r>
        <w:rPr/>
        <w:t>in</w:t>
      </w:r>
      <w:r>
        <w:rPr>
          <w:spacing w:val="18"/>
        </w:rPr>
        <w:t> </w:t>
      </w:r>
      <w:r>
        <w:rPr/>
        <w:t>refusing to comply with the UN General Assembly and the Security Council resolutions and of its defiance of International legitimacy and of the International Declaration of Human Rights, its persistence in repeated acts of aggression against Lebanese territory and the Palestinian</w:t>
      </w:r>
      <w:r>
        <w:rPr>
          <w:spacing w:val="80"/>
        </w:rPr>
        <w:t> </w:t>
      </w:r>
      <w:r>
        <w:rPr/>
        <w:t>Refugee Camps following a policy of complete eradication and destruction against them,</w:t>
      </w:r>
    </w:p>
    <w:p>
      <w:pPr>
        <w:pStyle w:val="BodyText"/>
        <w:spacing w:before="8"/>
        <w:rPr>
          <w:sz w:val="33"/>
        </w:rPr>
      </w:pPr>
    </w:p>
    <w:p>
      <w:pPr>
        <w:pStyle w:val="BodyText"/>
        <w:spacing w:line="369" w:lineRule="auto"/>
        <w:ind w:left="171" w:right="154" w:firstLine="676"/>
        <w:jc w:val="both"/>
      </w:pPr>
      <w:r>
        <w:rPr>
          <w:b/>
          <w:u w:val="single"/>
        </w:rPr>
        <w:t>Considering</w:t>
      </w:r>
      <w:r>
        <w:rPr>
          <w:b/>
          <w:spacing w:val="34"/>
        </w:rPr>
        <w:t> </w:t>
      </w:r>
      <w:r>
        <w:rPr/>
        <w:t>that all partial agreements and separate treaties contravene the principles of the United Nations, the resolutions of the Organization of African Unity as well as the peoples’ right to self</w:t>
      </w:r>
      <w:r>
        <w:rPr>
          <w:spacing w:val="-14"/>
        </w:rPr>
        <w:t> </w:t>
      </w:r>
      <w:r>
        <w:rPr/>
        <w:t>-determine nation and serve only to worsen the state of belligerence prevailing</w:t>
      </w:r>
      <w:r>
        <w:rPr>
          <w:spacing w:val="40"/>
        </w:rPr>
        <w:t> </w:t>
      </w:r>
      <w:r>
        <w:rPr/>
        <w:t>in</w:t>
      </w:r>
      <w:r>
        <w:rPr>
          <w:spacing w:val="40"/>
        </w:rPr>
        <w:t> </w:t>
      </w:r>
      <w:r>
        <w:rPr/>
        <w:t>the</w:t>
      </w:r>
      <w:r>
        <w:rPr>
          <w:spacing w:val="40"/>
        </w:rPr>
        <w:t> </w:t>
      </w:r>
      <w:r>
        <w:rPr/>
        <w:t>region</w:t>
      </w:r>
      <w:r>
        <w:rPr>
          <w:spacing w:val="40"/>
        </w:rPr>
        <w:t> </w:t>
      </w:r>
      <w:r>
        <w:rPr/>
        <w:t>and</w:t>
      </w:r>
      <w:r>
        <w:rPr>
          <w:spacing w:val="40"/>
        </w:rPr>
        <w:t> </w:t>
      </w:r>
      <w:r>
        <w:rPr/>
        <w:t>undermine</w:t>
      </w:r>
      <w:r>
        <w:rPr>
          <w:spacing w:val="40"/>
        </w:rPr>
        <w:t> </w:t>
      </w:r>
      <w:r>
        <w:rPr/>
        <w:t>the</w:t>
      </w:r>
      <w:r>
        <w:rPr>
          <w:spacing w:val="40"/>
        </w:rPr>
        <w:t> </w:t>
      </w:r>
      <w:r>
        <w:rPr/>
        <w:t>right</w:t>
      </w:r>
      <w:r>
        <w:rPr>
          <w:spacing w:val="40"/>
        </w:rPr>
        <w:t> </w:t>
      </w:r>
      <w:r>
        <w:rPr/>
        <w:t>of</w:t>
      </w:r>
      <w:r>
        <w:rPr>
          <w:spacing w:val="40"/>
        </w:rPr>
        <w:t> </w:t>
      </w:r>
      <w:r>
        <w:rPr/>
        <w:t>the</w:t>
      </w:r>
      <w:r>
        <w:rPr>
          <w:spacing w:val="40"/>
        </w:rPr>
        <w:t> </w:t>
      </w:r>
      <w:r>
        <w:rPr/>
        <w:t>Palestinian</w:t>
      </w:r>
      <w:r>
        <w:rPr>
          <w:spacing w:val="40"/>
        </w:rPr>
        <w:t> </w:t>
      </w:r>
      <w:r>
        <w:rPr/>
        <w:t>people</w:t>
      </w:r>
      <w:r>
        <w:rPr>
          <w:spacing w:val="40"/>
        </w:rPr>
        <w:t> </w:t>
      </w:r>
      <w:r>
        <w:rPr/>
        <w:t>and</w:t>
      </w:r>
      <w:r>
        <w:rPr>
          <w:spacing w:val="40"/>
        </w:rPr>
        <w:t> </w:t>
      </w:r>
      <w:r>
        <w:rPr/>
        <w:t>their</w:t>
      </w:r>
      <w:r>
        <w:rPr>
          <w:spacing w:val="40"/>
        </w:rPr>
        <w:t> </w:t>
      </w:r>
      <w:r>
        <w:rPr/>
        <w:t>cause which is at the core of the Middle East issue;</w:t>
      </w:r>
    </w:p>
    <w:p>
      <w:pPr>
        <w:spacing w:after="0" w:line="369" w:lineRule="auto"/>
        <w:jc w:val="both"/>
        <w:sectPr>
          <w:headerReference w:type="default" r:id="rId5"/>
          <w:type w:val="continuous"/>
          <w:pgSz w:w="12240" w:h="15840"/>
          <w:pgMar w:header="701" w:footer="0" w:top="1260" w:bottom="280" w:left="1720" w:right="1720"/>
          <w:pgNumType w:start="1"/>
        </w:sectPr>
      </w:pPr>
    </w:p>
    <w:p>
      <w:pPr>
        <w:pStyle w:val="BodyText"/>
        <w:spacing w:line="369" w:lineRule="auto" w:before="85"/>
        <w:ind w:left="171" w:right="162" w:firstLine="676"/>
        <w:jc w:val="both"/>
      </w:pPr>
      <w:r>
        <w:rPr>
          <w:b/>
          <w:u w:val="single"/>
        </w:rPr>
        <w:t>Reconfirming</w:t>
      </w:r>
      <w:r>
        <w:rPr>
          <w:b/>
          <w:spacing w:val="40"/>
        </w:rPr>
        <w:t> </w:t>
      </w:r>
      <w:r>
        <w:rPr/>
        <w:t>its unflinching support to the struggle of the Palestinian people under</w:t>
      </w:r>
      <w:r>
        <w:rPr>
          <w:spacing w:val="40"/>
        </w:rPr>
        <w:t> </w:t>
      </w:r>
      <w:r>
        <w:rPr/>
        <w:t>the leadership of the Palestine Liberation Organizations (PLC) for the restoration of their full national rights;</w:t>
      </w:r>
    </w:p>
    <w:p>
      <w:pPr>
        <w:pStyle w:val="BodyText"/>
        <w:spacing w:before="7"/>
        <w:rPr>
          <w:sz w:val="33"/>
        </w:rPr>
      </w:pPr>
    </w:p>
    <w:p>
      <w:pPr>
        <w:pStyle w:val="BodyText"/>
        <w:spacing w:line="369" w:lineRule="auto"/>
        <w:ind w:left="171" w:right="160" w:firstLine="676"/>
        <w:jc w:val="both"/>
      </w:pPr>
      <w:r>
        <w:rPr>
          <w:b/>
          <w:u w:val="single"/>
        </w:rPr>
        <w:t>Noting</w:t>
      </w:r>
      <w:r>
        <w:rPr>
          <w:b/>
          <w:spacing w:val="21"/>
          <w:u w:val="single"/>
        </w:rPr>
        <w:t> </w:t>
      </w:r>
      <w:r>
        <w:rPr>
          <w:b/>
          <w:u w:val="single"/>
        </w:rPr>
        <w:t>with</w:t>
      </w:r>
      <w:r>
        <w:rPr>
          <w:b/>
          <w:spacing w:val="21"/>
          <w:u w:val="single"/>
        </w:rPr>
        <w:t> </w:t>
      </w:r>
      <w:r>
        <w:rPr>
          <w:b/>
          <w:u w:val="single"/>
        </w:rPr>
        <w:t>grave concern</w:t>
      </w:r>
      <w:r>
        <w:rPr>
          <w:b/>
          <w:spacing w:val="32"/>
        </w:rPr>
        <w:t> </w:t>
      </w:r>
      <w:r>
        <w:rPr/>
        <w:t>that the conclusion between Israel and the racist regimes</w:t>
      </w:r>
      <w:r>
        <w:rPr>
          <w:spacing w:val="40"/>
        </w:rPr>
        <w:t> </w:t>
      </w:r>
      <w:r>
        <w:rPr/>
        <w:t>of Southern Africa has only increased the danger of perpetuating the policy of repression and genocide against the peoples of Palestine and Southern Africa;</w:t>
      </w:r>
    </w:p>
    <w:p>
      <w:pPr>
        <w:pStyle w:val="BodyText"/>
        <w:spacing w:before="7"/>
        <w:rPr>
          <w:sz w:val="33"/>
        </w:rPr>
      </w:pPr>
    </w:p>
    <w:p>
      <w:pPr>
        <w:pStyle w:val="ListParagraph"/>
        <w:numPr>
          <w:ilvl w:val="0"/>
          <w:numId w:val="1"/>
        </w:numPr>
        <w:tabs>
          <w:tab w:pos="1185" w:val="left" w:leader="none"/>
        </w:tabs>
        <w:spacing w:line="369" w:lineRule="auto" w:before="0" w:after="0"/>
        <w:ind w:left="1184" w:right="158" w:hanging="336"/>
        <w:jc w:val="both"/>
        <w:rPr>
          <w:sz w:val="22"/>
        </w:rPr>
      </w:pPr>
      <w:r>
        <w:rPr>
          <w:b/>
          <w:sz w:val="22"/>
        </w:rPr>
        <w:t>REAFFIRMS </w:t>
      </w:r>
      <w:r>
        <w:rPr>
          <w:sz w:val="22"/>
        </w:rPr>
        <w:t>all its previous resolutions and its total and effective support to the struggle of the Palestinian people under its sole and legitimate representative the Palestine Liberation Organization (PLO);</w:t>
      </w:r>
    </w:p>
    <w:p>
      <w:pPr>
        <w:pStyle w:val="BodyText"/>
        <w:rPr>
          <w:sz w:val="34"/>
        </w:rPr>
      </w:pPr>
    </w:p>
    <w:p>
      <w:pPr>
        <w:pStyle w:val="ListParagraph"/>
        <w:numPr>
          <w:ilvl w:val="0"/>
          <w:numId w:val="1"/>
        </w:numPr>
        <w:tabs>
          <w:tab w:pos="1185" w:val="left" w:leader="none"/>
        </w:tabs>
        <w:spacing w:line="369" w:lineRule="auto" w:before="1" w:after="0"/>
        <w:ind w:left="1184" w:right="171" w:hanging="336"/>
        <w:jc w:val="both"/>
        <w:rPr>
          <w:sz w:val="22"/>
        </w:rPr>
      </w:pPr>
      <w:r>
        <w:rPr>
          <w:b/>
          <w:sz w:val="22"/>
        </w:rPr>
        <w:t>REAFFIRMS</w:t>
      </w:r>
      <w:r>
        <w:rPr>
          <w:b/>
          <w:spacing w:val="35"/>
          <w:sz w:val="22"/>
        </w:rPr>
        <w:t> </w:t>
      </w:r>
      <w:r>
        <w:rPr>
          <w:sz w:val="22"/>
        </w:rPr>
        <w:t>its</w:t>
      </w:r>
      <w:r>
        <w:rPr>
          <w:spacing w:val="23"/>
          <w:sz w:val="22"/>
        </w:rPr>
        <w:t> </w:t>
      </w:r>
      <w:r>
        <w:rPr>
          <w:sz w:val="22"/>
        </w:rPr>
        <w:t>support</w:t>
      </w:r>
      <w:r>
        <w:rPr>
          <w:spacing w:val="23"/>
          <w:sz w:val="22"/>
        </w:rPr>
        <w:t> </w:t>
      </w:r>
      <w:r>
        <w:rPr>
          <w:sz w:val="22"/>
        </w:rPr>
        <w:t>to</w:t>
      </w:r>
      <w:r>
        <w:rPr>
          <w:spacing w:val="24"/>
          <w:sz w:val="22"/>
        </w:rPr>
        <w:t> </w:t>
      </w:r>
      <w:r>
        <w:rPr>
          <w:sz w:val="22"/>
        </w:rPr>
        <w:t>the</w:t>
      </w:r>
      <w:r>
        <w:rPr>
          <w:spacing w:val="23"/>
          <w:sz w:val="22"/>
        </w:rPr>
        <w:t> </w:t>
      </w:r>
      <w:r>
        <w:rPr>
          <w:sz w:val="22"/>
        </w:rPr>
        <w:t>Arab</w:t>
      </w:r>
      <w:r>
        <w:rPr>
          <w:spacing w:val="24"/>
          <w:sz w:val="22"/>
        </w:rPr>
        <w:t> </w:t>
      </w:r>
      <w:r>
        <w:rPr>
          <w:sz w:val="22"/>
        </w:rPr>
        <w:t>Frontline</w:t>
      </w:r>
      <w:r>
        <w:rPr>
          <w:spacing w:val="23"/>
          <w:sz w:val="22"/>
        </w:rPr>
        <w:t> </w:t>
      </w:r>
      <w:r>
        <w:rPr>
          <w:sz w:val="22"/>
        </w:rPr>
        <w:t>States</w:t>
      </w:r>
      <w:r>
        <w:rPr>
          <w:spacing w:val="23"/>
          <w:sz w:val="22"/>
        </w:rPr>
        <w:t> </w:t>
      </w:r>
      <w:r>
        <w:rPr>
          <w:sz w:val="22"/>
        </w:rPr>
        <w:t>and</w:t>
      </w:r>
      <w:r>
        <w:rPr>
          <w:spacing w:val="24"/>
          <w:sz w:val="22"/>
        </w:rPr>
        <w:t> </w:t>
      </w:r>
      <w:r>
        <w:rPr>
          <w:sz w:val="22"/>
        </w:rPr>
        <w:t>the</w:t>
      </w:r>
      <w:r>
        <w:rPr>
          <w:spacing w:val="23"/>
          <w:sz w:val="22"/>
        </w:rPr>
        <w:t> </w:t>
      </w:r>
      <w:r>
        <w:rPr>
          <w:sz w:val="22"/>
        </w:rPr>
        <w:t>Palestinian</w:t>
      </w:r>
      <w:r>
        <w:rPr>
          <w:spacing w:val="23"/>
          <w:sz w:val="22"/>
        </w:rPr>
        <w:t> </w:t>
      </w:r>
      <w:r>
        <w:rPr>
          <w:sz w:val="22"/>
        </w:rPr>
        <w:t>people in their just struggle to recover their usurped rights and occupied territories;</w:t>
      </w:r>
    </w:p>
    <w:p>
      <w:pPr>
        <w:pStyle w:val="BodyText"/>
        <w:spacing w:before="2"/>
        <w:rPr>
          <w:sz w:val="33"/>
        </w:rPr>
      </w:pPr>
    </w:p>
    <w:p>
      <w:pPr>
        <w:pStyle w:val="ListParagraph"/>
        <w:numPr>
          <w:ilvl w:val="0"/>
          <w:numId w:val="1"/>
        </w:numPr>
        <w:tabs>
          <w:tab w:pos="1185" w:val="left" w:leader="none"/>
        </w:tabs>
        <w:spacing w:line="369" w:lineRule="auto" w:before="1" w:after="0"/>
        <w:ind w:left="1184" w:right="148" w:hanging="336"/>
        <w:jc w:val="both"/>
        <w:rPr>
          <w:sz w:val="22"/>
        </w:rPr>
      </w:pPr>
      <w:r>
        <w:rPr>
          <w:b/>
          <w:sz w:val="22"/>
        </w:rPr>
        <w:t>STRONGLY CONDEMNS </w:t>
      </w:r>
      <w:r>
        <w:rPr>
          <w:sz w:val="22"/>
        </w:rPr>
        <w:t>the plans and belligerent intentions of Israel, its expansionist and segregationist policy as well as its defiance of the United Nations resolutions</w:t>
      </w:r>
      <w:r>
        <w:rPr>
          <w:spacing w:val="40"/>
          <w:sz w:val="22"/>
        </w:rPr>
        <w:t> </w:t>
      </w:r>
      <w:r>
        <w:rPr>
          <w:sz w:val="22"/>
        </w:rPr>
        <w:t>which</w:t>
      </w:r>
      <w:r>
        <w:rPr>
          <w:spacing w:val="40"/>
          <w:sz w:val="22"/>
        </w:rPr>
        <w:t> </w:t>
      </w:r>
      <w:r>
        <w:rPr>
          <w:sz w:val="22"/>
        </w:rPr>
        <w:t>constitute</w:t>
      </w:r>
      <w:r>
        <w:rPr>
          <w:spacing w:val="40"/>
          <w:sz w:val="22"/>
        </w:rPr>
        <w:t> </w:t>
      </w:r>
      <w:r>
        <w:rPr>
          <w:sz w:val="22"/>
        </w:rPr>
        <w:t>a</w:t>
      </w:r>
      <w:r>
        <w:rPr>
          <w:spacing w:val="40"/>
          <w:sz w:val="22"/>
        </w:rPr>
        <w:t> </w:t>
      </w:r>
      <w:r>
        <w:rPr>
          <w:sz w:val="22"/>
        </w:rPr>
        <w:t>serious</w:t>
      </w:r>
      <w:r>
        <w:rPr>
          <w:spacing w:val="40"/>
          <w:sz w:val="22"/>
        </w:rPr>
        <w:t> </w:t>
      </w:r>
      <w:r>
        <w:rPr>
          <w:sz w:val="22"/>
        </w:rPr>
        <w:t>threat</w:t>
      </w:r>
      <w:r>
        <w:rPr>
          <w:spacing w:val="40"/>
          <w:sz w:val="22"/>
        </w:rPr>
        <w:t> </w:t>
      </w:r>
      <w:r>
        <w:rPr>
          <w:sz w:val="22"/>
        </w:rPr>
        <w:t>to</w:t>
      </w:r>
      <w:r>
        <w:rPr>
          <w:spacing w:val="40"/>
          <w:sz w:val="22"/>
        </w:rPr>
        <w:t> </w:t>
      </w:r>
      <w:r>
        <w:rPr>
          <w:sz w:val="22"/>
        </w:rPr>
        <w:t>peace</w:t>
      </w:r>
      <w:r>
        <w:rPr>
          <w:spacing w:val="40"/>
          <w:sz w:val="22"/>
        </w:rPr>
        <w:t> </w:t>
      </w:r>
      <w:r>
        <w:rPr>
          <w:sz w:val="22"/>
        </w:rPr>
        <w:t>in</w:t>
      </w:r>
      <w:r>
        <w:rPr>
          <w:spacing w:val="40"/>
          <w:sz w:val="22"/>
        </w:rPr>
        <w:t> </w:t>
      </w:r>
      <w:r>
        <w:rPr>
          <w:sz w:val="22"/>
        </w:rPr>
        <w:t>the</w:t>
      </w:r>
      <w:r>
        <w:rPr>
          <w:spacing w:val="40"/>
          <w:sz w:val="22"/>
        </w:rPr>
        <w:t> </w:t>
      </w:r>
      <w:r>
        <w:rPr>
          <w:sz w:val="22"/>
        </w:rPr>
        <w:t>region</w:t>
      </w:r>
      <w:r>
        <w:rPr>
          <w:spacing w:val="40"/>
          <w:sz w:val="22"/>
        </w:rPr>
        <w:t> </w:t>
      </w:r>
      <w:r>
        <w:rPr>
          <w:sz w:val="22"/>
        </w:rPr>
        <w:t>and</w:t>
      </w:r>
      <w:r>
        <w:rPr>
          <w:spacing w:val="40"/>
          <w:sz w:val="22"/>
        </w:rPr>
        <w:t> </w:t>
      </w:r>
      <w:r>
        <w:rPr>
          <w:sz w:val="22"/>
        </w:rPr>
        <w:t>in</w:t>
      </w:r>
      <w:r>
        <w:rPr>
          <w:spacing w:val="40"/>
          <w:sz w:val="22"/>
        </w:rPr>
        <w:t> </w:t>
      </w:r>
      <w:r>
        <w:rPr>
          <w:sz w:val="22"/>
        </w:rPr>
        <w:t>the </w:t>
      </w:r>
      <w:r>
        <w:rPr>
          <w:spacing w:val="-2"/>
          <w:sz w:val="22"/>
        </w:rPr>
        <w:t>world;</w:t>
      </w:r>
    </w:p>
    <w:p>
      <w:pPr>
        <w:pStyle w:val="BodyText"/>
        <w:spacing w:before="10"/>
        <w:rPr>
          <w:sz w:val="33"/>
        </w:rPr>
      </w:pPr>
    </w:p>
    <w:p>
      <w:pPr>
        <w:pStyle w:val="ListParagraph"/>
        <w:numPr>
          <w:ilvl w:val="0"/>
          <w:numId w:val="1"/>
        </w:numPr>
        <w:tabs>
          <w:tab w:pos="1185" w:val="left" w:leader="none"/>
        </w:tabs>
        <w:spacing w:line="369" w:lineRule="auto" w:before="1" w:after="0"/>
        <w:ind w:left="1184" w:right="175" w:hanging="336"/>
        <w:jc w:val="both"/>
        <w:rPr>
          <w:sz w:val="22"/>
        </w:rPr>
      </w:pPr>
      <w:r>
        <w:rPr>
          <w:b/>
          <w:sz w:val="22"/>
        </w:rPr>
        <w:t>STRONGLY CONDEMNS </w:t>
      </w:r>
      <w:r>
        <w:rPr>
          <w:sz w:val="22"/>
        </w:rPr>
        <w:t>Israel’s policy of colonisation and settlement in Palestine and other occupied Arab territories;</w:t>
      </w:r>
    </w:p>
    <w:p>
      <w:pPr>
        <w:pStyle w:val="BodyText"/>
        <w:spacing w:before="7"/>
        <w:rPr>
          <w:sz w:val="33"/>
        </w:rPr>
      </w:pPr>
    </w:p>
    <w:p>
      <w:pPr>
        <w:pStyle w:val="ListParagraph"/>
        <w:numPr>
          <w:ilvl w:val="0"/>
          <w:numId w:val="1"/>
        </w:numPr>
        <w:tabs>
          <w:tab w:pos="1185" w:val="left" w:leader="none"/>
        </w:tabs>
        <w:spacing w:line="369" w:lineRule="auto" w:before="0" w:after="0"/>
        <w:ind w:left="1184" w:right="140" w:hanging="336"/>
        <w:jc w:val="both"/>
        <w:rPr>
          <w:sz w:val="22"/>
        </w:rPr>
      </w:pPr>
      <w:r>
        <w:rPr>
          <w:b/>
          <w:sz w:val="22"/>
        </w:rPr>
        <w:t>STRONGLY CONDEMNS </w:t>
      </w:r>
      <w:r>
        <w:rPr>
          <w:sz w:val="22"/>
        </w:rPr>
        <w:t>the bellicose collusion between Israel and the</w:t>
      </w:r>
      <w:r>
        <w:rPr>
          <w:spacing w:val="40"/>
          <w:sz w:val="22"/>
        </w:rPr>
        <w:t> </w:t>
      </w:r>
      <w:r>
        <w:rPr>
          <w:sz w:val="22"/>
        </w:rPr>
        <w:t>racist regimes in Southern Africa against African and Arab peoples, and </w:t>
      </w:r>
      <w:r>
        <w:rPr>
          <w:sz w:val="22"/>
          <w:u w:val="single"/>
        </w:rPr>
        <w:t>URGES</w:t>
      </w:r>
      <w:r>
        <w:rPr>
          <w:sz w:val="22"/>
        </w:rPr>
        <w:t> all Member States to strengthen their solidarity within the realm of the common</w:t>
      </w:r>
      <w:r>
        <w:rPr>
          <w:spacing w:val="40"/>
          <w:sz w:val="22"/>
        </w:rPr>
        <w:t> </w:t>
      </w:r>
      <w:r>
        <w:rPr>
          <w:sz w:val="22"/>
        </w:rPr>
        <w:t>struggle against the ever increasing dangers of these alliances and convinced that</w:t>
      </w:r>
      <w:r>
        <w:rPr>
          <w:spacing w:val="80"/>
          <w:sz w:val="22"/>
        </w:rPr>
        <w:t> </w:t>
      </w:r>
      <w:r>
        <w:rPr>
          <w:sz w:val="22"/>
        </w:rPr>
        <w:t>the armed struggle against the racist regimes in Southern Africa and in occupied Palestine, is the most effective way of eradicating domination and Foreign central</w:t>
      </w:r>
      <w:r>
        <w:rPr>
          <w:spacing w:val="80"/>
          <w:w w:val="150"/>
          <w:sz w:val="22"/>
        </w:rPr>
        <w:t> </w:t>
      </w:r>
      <w:r>
        <w:rPr>
          <w:sz w:val="22"/>
        </w:rPr>
        <w:t>of the destiny of African and Arab peoples;</w:t>
      </w:r>
    </w:p>
    <w:p>
      <w:pPr>
        <w:pStyle w:val="BodyText"/>
        <w:spacing w:before="9"/>
        <w:rPr>
          <w:sz w:val="33"/>
        </w:rPr>
      </w:pPr>
    </w:p>
    <w:p>
      <w:pPr>
        <w:pStyle w:val="ListParagraph"/>
        <w:numPr>
          <w:ilvl w:val="0"/>
          <w:numId w:val="1"/>
        </w:numPr>
        <w:tabs>
          <w:tab w:pos="1185" w:val="left" w:leader="none"/>
        </w:tabs>
        <w:spacing w:line="369" w:lineRule="auto" w:before="0" w:after="0"/>
        <w:ind w:left="1184" w:right="152" w:hanging="336"/>
        <w:jc w:val="both"/>
        <w:rPr>
          <w:sz w:val="22"/>
        </w:rPr>
      </w:pPr>
      <w:r>
        <w:rPr>
          <w:b/>
          <w:sz w:val="22"/>
        </w:rPr>
        <w:t>CONDEMNS </w:t>
      </w:r>
      <w:r>
        <w:rPr>
          <w:sz w:val="22"/>
        </w:rPr>
        <w:t>all partial agreements and separate treaties which violate the recognized</w:t>
      </w:r>
      <w:r>
        <w:rPr>
          <w:spacing w:val="39"/>
          <w:sz w:val="22"/>
        </w:rPr>
        <w:t> </w:t>
      </w:r>
      <w:r>
        <w:rPr>
          <w:sz w:val="22"/>
        </w:rPr>
        <w:t>rights</w:t>
      </w:r>
      <w:r>
        <w:rPr>
          <w:spacing w:val="38"/>
          <w:sz w:val="22"/>
        </w:rPr>
        <w:t> </w:t>
      </w:r>
      <w:r>
        <w:rPr>
          <w:sz w:val="22"/>
        </w:rPr>
        <w:t>of</w:t>
      </w:r>
      <w:r>
        <w:rPr>
          <w:spacing w:val="38"/>
          <w:sz w:val="22"/>
        </w:rPr>
        <w:t> </w:t>
      </w:r>
      <w:r>
        <w:rPr>
          <w:sz w:val="22"/>
        </w:rPr>
        <w:t>the</w:t>
      </w:r>
      <w:r>
        <w:rPr>
          <w:spacing w:val="38"/>
          <w:sz w:val="22"/>
        </w:rPr>
        <w:t> </w:t>
      </w:r>
      <w:r>
        <w:rPr>
          <w:sz w:val="22"/>
        </w:rPr>
        <w:t>Palestinian</w:t>
      </w:r>
      <w:r>
        <w:rPr>
          <w:spacing w:val="38"/>
          <w:sz w:val="22"/>
        </w:rPr>
        <w:t> </w:t>
      </w:r>
      <w:r>
        <w:rPr>
          <w:sz w:val="22"/>
        </w:rPr>
        <w:t>people</w:t>
      </w:r>
      <w:r>
        <w:rPr>
          <w:spacing w:val="38"/>
          <w:sz w:val="22"/>
        </w:rPr>
        <w:t> </w:t>
      </w:r>
      <w:r>
        <w:rPr>
          <w:sz w:val="22"/>
        </w:rPr>
        <w:t>and</w:t>
      </w:r>
      <w:r>
        <w:rPr>
          <w:spacing w:val="39"/>
          <w:sz w:val="22"/>
        </w:rPr>
        <w:t> </w:t>
      </w:r>
      <w:r>
        <w:rPr>
          <w:sz w:val="22"/>
        </w:rPr>
        <w:t>contradicts</w:t>
      </w:r>
      <w:r>
        <w:rPr>
          <w:spacing w:val="38"/>
          <w:sz w:val="22"/>
        </w:rPr>
        <w:t> </w:t>
      </w:r>
      <w:r>
        <w:rPr>
          <w:sz w:val="22"/>
        </w:rPr>
        <w:t>the</w:t>
      </w:r>
      <w:r>
        <w:rPr>
          <w:spacing w:val="38"/>
          <w:sz w:val="22"/>
        </w:rPr>
        <w:t> </w:t>
      </w:r>
      <w:r>
        <w:rPr>
          <w:sz w:val="22"/>
        </w:rPr>
        <w:t>principles</w:t>
      </w:r>
      <w:r>
        <w:rPr>
          <w:spacing w:val="38"/>
          <w:sz w:val="22"/>
        </w:rPr>
        <w:t> </w:t>
      </w:r>
      <w:r>
        <w:rPr>
          <w:sz w:val="22"/>
        </w:rPr>
        <w:t>of</w:t>
      </w:r>
      <w:r>
        <w:rPr>
          <w:spacing w:val="38"/>
          <w:sz w:val="22"/>
        </w:rPr>
        <w:t> </w:t>
      </w:r>
      <w:r>
        <w:rPr>
          <w:sz w:val="22"/>
        </w:rPr>
        <w:t>just and comprehensive solutions to the Middle East problem to ensure the</w:t>
      </w:r>
      <w:r>
        <w:rPr>
          <w:spacing w:val="80"/>
          <w:sz w:val="22"/>
        </w:rPr>
        <w:t> </w:t>
      </w:r>
      <w:r>
        <w:rPr>
          <w:sz w:val="22"/>
        </w:rPr>
        <w:t>establishment of a just peace in the area;</w:t>
      </w:r>
    </w:p>
    <w:p>
      <w:pPr>
        <w:spacing w:after="0" w:line="369" w:lineRule="auto"/>
        <w:jc w:val="both"/>
        <w:rPr>
          <w:sz w:val="22"/>
        </w:rPr>
        <w:sectPr>
          <w:pgSz w:w="12240" w:h="15840"/>
          <w:pgMar w:header="701" w:footer="0" w:top="1260" w:bottom="280" w:left="1720" w:right="1720"/>
        </w:sectPr>
      </w:pPr>
    </w:p>
    <w:p>
      <w:pPr>
        <w:pStyle w:val="ListParagraph"/>
        <w:numPr>
          <w:ilvl w:val="0"/>
          <w:numId w:val="1"/>
        </w:numPr>
        <w:tabs>
          <w:tab w:pos="1185" w:val="left" w:leader="none"/>
        </w:tabs>
        <w:spacing w:line="367" w:lineRule="auto" w:before="85" w:after="0"/>
        <w:ind w:left="1183" w:right="152" w:hanging="336"/>
        <w:jc w:val="both"/>
        <w:rPr>
          <w:sz w:val="22"/>
        </w:rPr>
      </w:pPr>
      <w:r>
        <w:rPr>
          <w:b/>
          <w:sz w:val="22"/>
        </w:rPr>
        <w:t>REAFFIRMS</w:t>
      </w:r>
      <w:r>
        <w:rPr>
          <w:b/>
          <w:spacing w:val="40"/>
          <w:sz w:val="22"/>
        </w:rPr>
        <w:t> </w:t>
      </w:r>
      <w:r>
        <w:rPr>
          <w:sz w:val="22"/>
        </w:rPr>
        <w:t>the</w:t>
      </w:r>
      <w:r>
        <w:rPr>
          <w:spacing w:val="29"/>
          <w:sz w:val="22"/>
        </w:rPr>
        <w:t> </w:t>
      </w:r>
      <w:r>
        <w:rPr>
          <w:sz w:val="22"/>
        </w:rPr>
        <w:t>rights</w:t>
      </w:r>
      <w:r>
        <w:rPr>
          <w:spacing w:val="28"/>
          <w:sz w:val="22"/>
        </w:rPr>
        <w:t> </w:t>
      </w:r>
      <w:r>
        <w:rPr>
          <w:sz w:val="22"/>
        </w:rPr>
        <w:t>of</w:t>
      </w:r>
      <w:r>
        <w:rPr>
          <w:spacing w:val="28"/>
          <w:sz w:val="22"/>
        </w:rPr>
        <w:t> </w:t>
      </w:r>
      <w:r>
        <w:rPr>
          <w:sz w:val="22"/>
        </w:rPr>
        <w:t>the</w:t>
      </w:r>
      <w:r>
        <w:rPr>
          <w:spacing w:val="28"/>
          <w:sz w:val="22"/>
        </w:rPr>
        <w:t> </w:t>
      </w:r>
      <w:r>
        <w:rPr>
          <w:sz w:val="22"/>
        </w:rPr>
        <w:t>Arab</w:t>
      </w:r>
      <w:r>
        <w:rPr>
          <w:spacing w:val="29"/>
          <w:sz w:val="22"/>
        </w:rPr>
        <w:t> </w:t>
      </w:r>
      <w:r>
        <w:rPr>
          <w:sz w:val="22"/>
        </w:rPr>
        <w:t>Front-line</w:t>
      </w:r>
      <w:r>
        <w:rPr>
          <w:spacing w:val="23"/>
          <w:sz w:val="22"/>
        </w:rPr>
        <w:t> </w:t>
      </w:r>
      <w:r>
        <w:rPr>
          <w:sz w:val="22"/>
        </w:rPr>
        <w:t>States</w:t>
      </w:r>
      <w:r>
        <w:rPr>
          <w:spacing w:val="23"/>
          <w:sz w:val="22"/>
        </w:rPr>
        <w:t> </w:t>
      </w:r>
      <w:r>
        <w:rPr>
          <w:sz w:val="22"/>
        </w:rPr>
        <w:t>and</w:t>
      </w:r>
      <w:r>
        <w:rPr>
          <w:spacing w:val="24"/>
          <w:sz w:val="22"/>
        </w:rPr>
        <w:t> </w:t>
      </w:r>
      <w:r>
        <w:rPr>
          <w:sz w:val="22"/>
        </w:rPr>
        <w:t>the</w:t>
      </w:r>
      <w:r>
        <w:rPr>
          <w:spacing w:val="23"/>
          <w:sz w:val="22"/>
        </w:rPr>
        <w:t> </w:t>
      </w:r>
      <w:r>
        <w:rPr>
          <w:sz w:val="22"/>
        </w:rPr>
        <w:t>Palestinian</w:t>
      </w:r>
      <w:r>
        <w:rPr>
          <w:spacing w:val="23"/>
          <w:sz w:val="22"/>
        </w:rPr>
        <w:t> </w:t>
      </w:r>
      <w:r>
        <w:rPr>
          <w:sz w:val="22"/>
        </w:rPr>
        <w:t>people to full sovereignty over their territories, their wealth and natural resources and </w:t>
      </w:r>
      <w:r>
        <w:rPr>
          <w:sz w:val="22"/>
          <w:u w:val="single"/>
        </w:rPr>
        <w:t>CONSIDERS</w:t>
      </w:r>
      <w:r>
        <w:rPr>
          <w:sz w:val="22"/>
        </w:rPr>
        <w:t> all measures taken by Israel in violation of this sovereignty null and </w:t>
      </w:r>
      <w:r>
        <w:rPr>
          <w:spacing w:val="-2"/>
          <w:sz w:val="22"/>
        </w:rPr>
        <w:t>void;</w:t>
      </w:r>
    </w:p>
    <w:p>
      <w:pPr>
        <w:pStyle w:val="BodyText"/>
        <w:spacing w:before="5"/>
        <w:rPr>
          <w:sz w:val="34"/>
        </w:rPr>
      </w:pPr>
    </w:p>
    <w:p>
      <w:pPr>
        <w:pStyle w:val="ListParagraph"/>
        <w:numPr>
          <w:ilvl w:val="0"/>
          <w:numId w:val="1"/>
        </w:numPr>
        <w:tabs>
          <w:tab w:pos="1185" w:val="left" w:leader="none"/>
        </w:tabs>
        <w:spacing w:line="369" w:lineRule="auto" w:before="0" w:after="0"/>
        <w:ind w:left="1183" w:right="140" w:hanging="336"/>
        <w:jc w:val="both"/>
        <w:rPr>
          <w:sz w:val="22"/>
        </w:rPr>
      </w:pPr>
      <w:r>
        <w:rPr>
          <w:b/>
          <w:sz w:val="22"/>
        </w:rPr>
        <w:t>URGES</w:t>
      </w:r>
      <w:r>
        <w:rPr>
          <w:b/>
          <w:spacing w:val="40"/>
          <w:sz w:val="22"/>
        </w:rPr>
        <w:t> </w:t>
      </w:r>
      <w:r>
        <w:rPr>
          <w:sz w:val="22"/>
        </w:rPr>
        <w:t>the</w:t>
      </w:r>
      <w:r>
        <w:rPr>
          <w:spacing w:val="40"/>
          <w:sz w:val="22"/>
        </w:rPr>
        <w:t> </w:t>
      </w:r>
      <w:r>
        <w:rPr>
          <w:sz w:val="22"/>
        </w:rPr>
        <w:t>International</w:t>
      </w:r>
      <w:r>
        <w:rPr>
          <w:spacing w:val="40"/>
          <w:sz w:val="22"/>
        </w:rPr>
        <w:t> </w:t>
      </w:r>
      <w:r>
        <w:rPr>
          <w:sz w:val="22"/>
        </w:rPr>
        <w:t>Community</w:t>
      </w:r>
      <w:r>
        <w:rPr>
          <w:spacing w:val="40"/>
          <w:sz w:val="22"/>
        </w:rPr>
        <w:t> </w:t>
      </w:r>
      <w:r>
        <w:rPr>
          <w:sz w:val="22"/>
        </w:rPr>
        <w:t>to</w:t>
      </w:r>
      <w:r>
        <w:rPr>
          <w:spacing w:val="40"/>
          <w:sz w:val="22"/>
        </w:rPr>
        <w:t> </w:t>
      </w:r>
      <w:r>
        <w:rPr>
          <w:sz w:val="22"/>
        </w:rPr>
        <w:t>intensify</w:t>
      </w:r>
      <w:r>
        <w:rPr>
          <w:spacing w:val="40"/>
          <w:sz w:val="22"/>
        </w:rPr>
        <w:t> </w:t>
      </w:r>
      <w:r>
        <w:rPr>
          <w:sz w:val="22"/>
        </w:rPr>
        <w:t>its</w:t>
      </w:r>
      <w:r>
        <w:rPr>
          <w:spacing w:val="40"/>
          <w:sz w:val="22"/>
        </w:rPr>
        <w:t> </w:t>
      </w:r>
      <w:r>
        <w:rPr>
          <w:sz w:val="22"/>
        </w:rPr>
        <w:t>pressure</w:t>
      </w:r>
      <w:r>
        <w:rPr>
          <w:spacing w:val="40"/>
          <w:sz w:val="22"/>
        </w:rPr>
        <w:t> </w:t>
      </w:r>
      <w:r>
        <w:rPr>
          <w:sz w:val="22"/>
        </w:rPr>
        <w:t>on</w:t>
      </w:r>
      <w:r>
        <w:rPr>
          <w:spacing w:val="40"/>
          <w:sz w:val="22"/>
        </w:rPr>
        <w:t> </w:t>
      </w:r>
      <w:r>
        <w:rPr>
          <w:sz w:val="22"/>
        </w:rPr>
        <w:t>Israel</w:t>
      </w:r>
      <w:r>
        <w:rPr>
          <w:spacing w:val="40"/>
          <w:sz w:val="22"/>
        </w:rPr>
        <w:t> </w:t>
      </w:r>
      <w:r>
        <w:rPr>
          <w:sz w:val="22"/>
        </w:rPr>
        <w:t>in</w:t>
      </w:r>
      <w:r>
        <w:rPr>
          <w:spacing w:val="40"/>
          <w:sz w:val="22"/>
        </w:rPr>
        <w:t> </w:t>
      </w:r>
      <w:r>
        <w:rPr>
          <w:sz w:val="22"/>
        </w:rPr>
        <w:t>all fields to compel her to abide by the OAU resolutions, and </w:t>
      </w:r>
      <w:r>
        <w:rPr>
          <w:sz w:val="22"/>
          <w:u w:val="single"/>
        </w:rPr>
        <w:t>CALLS UPON</w:t>
      </w:r>
      <w:r>
        <w:rPr>
          <w:sz w:val="22"/>
        </w:rPr>
        <w:t> the Security Council to take the necessary measures to compel Israel to and i</w:t>
      </w:r>
      <w:r>
        <w:rPr>
          <w:spacing w:val="-14"/>
          <w:sz w:val="22"/>
        </w:rPr>
        <w:t> </w:t>
      </w:r>
      <w:r>
        <w:rPr>
          <w:sz w:val="22"/>
        </w:rPr>
        <w:t>t occupation of Palestine and Arab territories, and allow the Palestinian people to exercise their natural rights in conformity with the recommendations of the United Nations </w:t>
      </w:r>
      <w:r>
        <w:rPr>
          <w:sz w:val="22"/>
          <w:u w:val="single"/>
        </w:rPr>
        <w:t>Ad Hoc</w:t>
      </w:r>
      <w:r>
        <w:rPr>
          <w:sz w:val="22"/>
        </w:rPr>
        <w:t> Committee on the exercise of the Inalienable Rights of the Palestinian People;</w:t>
      </w:r>
    </w:p>
    <w:p>
      <w:pPr>
        <w:pStyle w:val="BodyText"/>
        <w:spacing w:before="9"/>
        <w:rPr>
          <w:sz w:val="33"/>
        </w:rPr>
      </w:pPr>
    </w:p>
    <w:p>
      <w:pPr>
        <w:pStyle w:val="ListParagraph"/>
        <w:numPr>
          <w:ilvl w:val="0"/>
          <w:numId w:val="1"/>
        </w:numPr>
        <w:tabs>
          <w:tab w:pos="1185" w:val="left" w:leader="none"/>
        </w:tabs>
        <w:spacing w:line="364" w:lineRule="auto" w:before="0" w:after="0"/>
        <w:ind w:left="1184" w:right="164" w:hanging="336"/>
        <w:jc w:val="both"/>
        <w:rPr>
          <w:sz w:val="22"/>
        </w:rPr>
      </w:pPr>
      <w:r>
        <w:rPr>
          <w:b/>
          <w:sz w:val="22"/>
        </w:rPr>
        <w:t>REQUESTS </w:t>
      </w:r>
      <w:r>
        <w:rPr>
          <w:sz w:val="22"/>
        </w:rPr>
        <w:t>the Secretary-General of the OAU to follow the development of the problem and report to the next Ordinary Session of the OAU Council of Ministers.</w:t>
      </w:r>
    </w:p>
    <w:sectPr>
      <w:pgSz w:w="12240" w:h="15840"/>
      <w:pgMar w:header="701" w:footer="0" w:top="12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78.679993pt;margin-top:34.068241pt;width:140.85pt;height:14.5pt;mso-position-horizontal-relative:page;mso-position-vertical-relative:page;z-index:-15766016" type="#_x0000_t202" id="docshape1" filled="false" stroked="false">
          <v:textbox inset="0,0,0,0">
            <w:txbxContent>
              <w:p>
                <w:pPr>
                  <w:pStyle w:val="BodyText"/>
                  <w:spacing w:before="15"/>
                  <w:ind w:left="20"/>
                </w:pPr>
                <w:r>
                  <w:rPr/>
                  <w:t>CM/Res.</w:t>
                </w:r>
                <w:r>
                  <w:rPr>
                    <w:spacing w:val="13"/>
                  </w:rPr>
                  <w:t> </w:t>
                </w:r>
                <w:r>
                  <w:rPr/>
                  <w:t>726</w:t>
                </w:r>
                <w:r>
                  <w:rPr>
                    <w:spacing w:val="13"/>
                  </w:rPr>
                  <w:t> </w:t>
                </w:r>
                <w:r>
                  <w:rPr/>
                  <w:t>(XXXIII)</w:t>
                </w:r>
                <w:r>
                  <w:rPr>
                    <w:spacing w:val="14"/>
                  </w:rPr>
                  <w:t> </w:t>
                </w:r>
                <w:r>
                  <w:rPr/>
                  <w:t>Rev.</w:t>
                </w:r>
                <w:r>
                  <w:rPr>
                    <w:spacing w:val="14"/>
                  </w:rPr>
                  <w:t> </w:t>
                </w:r>
                <w:r>
                  <w:rPr>
                    <w:spacing w:val="-10"/>
                  </w:rPr>
                  <w:t>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2540" w:right="2532"/>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40"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THIRTY-THIRD ORDINARY SESSION OF THE COUNCIL OF MINISTERS</dc:title>
  <dcterms:created xsi:type="dcterms:W3CDTF">2023-06-07T09:14:06Z</dcterms:created>
  <dcterms:modified xsi:type="dcterms:W3CDTF">2023-06-07T09:14:06Z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