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3"/>
        </w:rPr>
        <w:t> </w:t>
      </w:r>
      <w:r>
        <w:rPr/>
        <w:t>737</w:t>
      </w:r>
      <w:r>
        <w:rPr>
          <w:spacing w:val="13"/>
        </w:rPr>
        <w:t> </w:t>
      </w:r>
      <w:r>
        <w:rPr/>
        <w:t>(XXXIII)</w:t>
      </w:r>
      <w:r>
        <w:rPr>
          <w:spacing w:val="13"/>
        </w:rPr>
        <w:t> </w:t>
      </w:r>
      <w:r>
        <w:rPr/>
        <w:t>Rev.</w:t>
      </w:r>
      <w:r>
        <w:rPr>
          <w:spacing w:val="13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INTERNATIONAL YEAR</w:t>
      </w:r>
      <w:r>
        <w:rPr>
          <w:u w:val="none"/>
        </w:rPr>
        <w:t> </w:t>
      </w:r>
      <w:r>
        <w:rPr>
          <w:u w:val="single"/>
        </w:rPr>
        <w:t>OF THE CHILD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7" w:firstLine="676"/>
        <w:jc w:val="both"/>
      </w:pPr>
      <w:r>
        <w:rPr>
          <w:b/>
          <w:u w:val="single"/>
        </w:rPr>
        <w:t>Having</w:t>
      </w:r>
      <w:r>
        <w:rPr>
          <w:b/>
          <w:spacing w:val="39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34"/>
        </w:rPr>
        <w:t> </w:t>
      </w:r>
      <w:r>
        <w:rPr/>
        <w:t>report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Secretary-General</w:t>
      </w:r>
      <w:r>
        <w:rPr>
          <w:spacing w:val="33"/>
        </w:rPr>
        <w:t> </w:t>
      </w:r>
      <w:r>
        <w:rPr/>
        <w:t>on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International</w:t>
      </w:r>
      <w:r>
        <w:rPr>
          <w:spacing w:val="33"/>
        </w:rPr>
        <w:t> </w:t>
      </w:r>
      <w:r>
        <w:rPr/>
        <w:t>Year</w:t>
      </w:r>
      <w:r>
        <w:rPr>
          <w:spacing w:val="34"/>
        </w:rPr>
        <w:t> </w:t>
      </w:r>
      <w:r>
        <w:rPr/>
        <w:t>of the Child (1979), document CM/982 (XXXIII),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various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OAU,</w:t>
      </w:r>
      <w:r>
        <w:rPr>
          <w:spacing w:val="40"/>
        </w:rPr>
        <w:t> </w:t>
      </w:r>
      <w:r>
        <w:rPr/>
        <w:t>Particularly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Memorandum appended to Resolution CM/Res. 219 (XV) adopted in Addis Ababa in 1973 recommending cooperation between the OAU, the United Nations and other organizations,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27"/>
        </w:rPr>
        <w:t> </w:t>
      </w:r>
      <w:r>
        <w:rPr/>
        <w:t>great</w:t>
      </w:r>
      <w:r>
        <w:rPr>
          <w:spacing w:val="27"/>
        </w:rPr>
        <w:t> </w:t>
      </w:r>
      <w:r>
        <w:rPr/>
        <w:t>importance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governments</w:t>
      </w:r>
      <w:r>
        <w:rPr>
          <w:spacing w:val="27"/>
        </w:rPr>
        <w:t> </w:t>
      </w:r>
      <w:r>
        <w:rPr/>
        <w:t>attach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implementation of the UN Declaration on the International Year of the Child as contained in Resolution A/31/169 of the United Nations General Assembly;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the Secretary-General of his efforts to make known the participation of the African Governments in the International Year of the child;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5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for the approval of the OAU Assembly of Heads of States and Government the attached Declaration of the rights and Welfare of the African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Child;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0" w:after="0"/>
        <w:ind w:left="1183" w:right="161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OAU Member States to ensure the full implementation of this </w:t>
      </w:r>
      <w:r>
        <w:rPr>
          <w:spacing w:val="-2"/>
          <w:sz w:val="22"/>
        </w:rPr>
        <w:t>Declaration;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1" w:after="0"/>
        <w:ind w:left="1183" w:right="147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gathering</w:t>
      </w:r>
      <w:r>
        <w:rPr>
          <w:spacing w:val="40"/>
          <w:sz w:val="22"/>
        </w:rPr>
        <w:t> </w:t>
      </w:r>
      <w:r>
        <w:rPr>
          <w:sz w:val="22"/>
        </w:rPr>
        <w:t>the necessary information from Member States and communicate it to the UN</w:t>
      </w:r>
      <w:r>
        <w:rPr>
          <w:spacing w:val="40"/>
          <w:sz w:val="22"/>
        </w:rPr>
        <w:t> </w:t>
      </w:r>
      <w:r>
        <w:rPr>
          <w:sz w:val="22"/>
        </w:rPr>
        <w:t>Secretary-General as the contribution of the African Region to the IYC,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93" w:right="1666" w:hanging="173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7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2023-06-07T09:14:38Z</dcterms:created>
  <dcterms:modified xsi:type="dcterms:W3CDTF">2023-06-07T09:14:38Z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