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spacing w:val="-2"/>
          <w:u w:val="single"/>
        </w:rPr>
        <w:t>RESOLUTION</w:t>
      </w:r>
    </w:p>
    <w:p>
      <w:pPr>
        <w:pStyle w:val="Title"/>
        <w:spacing w:line="369" w:lineRule="auto" w:before="136"/>
        <w:ind w:right="1244"/>
        <w:rPr>
          <w:u w:val="none"/>
        </w:rPr>
      </w:pPr>
      <w:r>
        <w:rPr>
          <w:u w:val="single"/>
        </w:rPr>
        <w:t>ON THE TRANSPORT AND COMMUNICATIONS DECADE IN</w:t>
      </w:r>
      <w:r>
        <w:rPr>
          <w:u w:val="none"/>
        </w:rPr>
        <w:t> </w:t>
      </w:r>
      <w:r>
        <w:rPr>
          <w:spacing w:val="-2"/>
          <w:u w:val="single"/>
        </w:rPr>
        <w:t>AFRICA</w:t>
      </w:r>
    </w:p>
    <w:p>
      <w:pPr>
        <w:pStyle w:val="BodyText"/>
        <w:spacing w:before="11"/>
        <w:rPr>
          <w:b/>
          <w:sz w:val="24"/>
        </w:rPr>
      </w:pPr>
    </w:p>
    <w:p>
      <w:pPr>
        <w:pStyle w:val="BodyText"/>
        <w:spacing w:line="369" w:lineRule="auto" w:before="95"/>
        <w:ind w:left="171" w:right="142" w:firstLine="676"/>
        <w:jc w:val="both"/>
      </w:pPr>
      <w:r>
        <w:rPr/>
        <w:t>The Council of Ministers of the organization of African Unity meeting in its Thirty- third Ordinary Session in Monrovia, Liberia, from 6 to 20 July 1979;</w:t>
      </w:r>
    </w:p>
    <w:p>
      <w:pPr>
        <w:pStyle w:val="BodyText"/>
        <w:spacing w:before="8"/>
        <w:rPr>
          <w:sz w:val="33"/>
        </w:rPr>
      </w:pPr>
    </w:p>
    <w:p>
      <w:pPr>
        <w:pStyle w:val="BodyText"/>
        <w:spacing w:line="369" w:lineRule="auto"/>
        <w:ind w:left="171" w:right="173" w:firstLine="676"/>
        <w:jc w:val="both"/>
      </w:pPr>
      <w:r>
        <w:rPr>
          <w:b/>
          <w:u w:val="single"/>
        </w:rPr>
        <w:t>Aware</w:t>
      </w:r>
      <w:r>
        <w:rPr>
          <w:b/>
        </w:rPr>
        <w:t> </w:t>
      </w:r>
      <w:r>
        <w:rPr/>
        <w:t>of the difficulties and the backwardness, experienced in Africa in the field of transport and communication,</w:t>
      </w:r>
    </w:p>
    <w:p>
      <w:pPr>
        <w:pStyle w:val="BodyText"/>
        <w:spacing w:before="8"/>
        <w:rPr>
          <w:sz w:val="33"/>
        </w:rPr>
      </w:pPr>
    </w:p>
    <w:p>
      <w:pPr>
        <w:pStyle w:val="BodyText"/>
        <w:spacing w:line="369" w:lineRule="auto"/>
        <w:ind w:left="171" w:right="179" w:firstLine="676"/>
        <w:jc w:val="both"/>
      </w:pPr>
      <w:r>
        <w:rPr>
          <w:b/>
          <w:u w:val="single"/>
        </w:rPr>
        <w:t>Recognizing</w:t>
      </w:r>
      <w:r>
        <w:rPr>
          <w:b/>
        </w:rPr>
        <w:t> </w:t>
      </w:r>
      <w:r>
        <w:rPr/>
        <w:t>the urgent need to substantially improve transport and communications infrastructures in Africa,</w:t>
      </w:r>
    </w:p>
    <w:p>
      <w:pPr>
        <w:pStyle w:val="BodyText"/>
        <w:spacing w:before="1"/>
        <w:rPr>
          <w:sz w:val="34"/>
        </w:rPr>
      </w:pPr>
    </w:p>
    <w:p>
      <w:pPr>
        <w:pStyle w:val="BodyText"/>
        <w:spacing w:line="364" w:lineRule="auto"/>
        <w:ind w:left="171" w:right="169" w:firstLine="676"/>
        <w:jc w:val="both"/>
      </w:pPr>
      <w:r>
        <w:rPr>
          <w:b/>
          <w:u w:val="single"/>
        </w:rPr>
        <w:t>Aware further</w:t>
      </w:r>
      <w:r>
        <w:rPr>
          <w:b/>
        </w:rPr>
        <w:t> </w:t>
      </w:r>
      <w:r>
        <w:rPr/>
        <w:t>of the problems of the least developed countries of the Continent and particularly the landlocked and island countries,</w:t>
      </w:r>
    </w:p>
    <w:p>
      <w:pPr>
        <w:pStyle w:val="BodyText"/>
        <w:spacing w:before="6"/>
        <w:rPr>
          <w:sz w:val="34"/>
        </w:rPr>
      </w:pPr>
    </w:p>
    <w:p>
      <w:pPr>
        <w:pStyle w:val="BodyText"/>
        <w:spacing w:line="369" w:lineRule="auto"/>
        <w:ind w:left="171" w:right="140" w:firstLine="676"/>
        <w:jc w:val="both"/>
      </w:pPr>
      <w:r>
        <w:rPr>
          <w:b/>
          <w:u w:val="single"/>
        </w:rPr>
        <w:t>Taking note</w:t>
      </w:r>
      <w:r>
        <w:rPr>
          <w:b/>
        </w:rPr>
        <w:t> </w:t>
      </w:r>
      <w:r>
        <w:rPr/>
        <w:t>of resolution 32/160 of the United Nations General Assembly of 19 December 1977 approving the recommendations presented in resolution 291 (XIII) of the Conference</w:t>
      </w:r>
      <w:r>
        <w:rPr>
          <w:spacing w:val="40"/>
        </w:rPr>
        <w:t> </w:t>
      </w:r>
      <w:r>
        <w:rPr/>
        <w:t>of</w:t>
      </w:r>
      <w:r>
        <w:rPr>
          <w:spacing w:val="40"/>
        </w:rPr>
        <w:t> </w:t>
      </w:r>
      <w:r>
        <w:rPr/>
        <w:t>Minister</w:t>
      </w:r>
      <w:r>
        <w:rPr>
          <w:spacing w:val="40"/>
        </w:rPr>
        <w:t> </w:t>
      </w:r>
      <w:r>
        <w:rPr/>
        <w:t>proclaiming</w:t>
      </w:r>
      <w:r>
        <w:rPr>
          <w:spacing w:val="40"/>
        </w:rPr>
        <w:t> </w:t>
      </w:r>
      <w:r>
        <w:rPr/>
        <w:t>a</w:t>
      </w:r>
      <w:r>
        <w:rPr>
          <w:spacing w:val="40"/>
        </w:rPr>
        <w:t> </w:t>
      </w:r>
      <w:r>
        <w:rPr/>
        <w:t>Transport</w:t>
      </w:r>
      <w:r>
        <w:rPr>
          <w:spacing w:val="40"/>
        </w:rPr>
        <w:t> </w:t>
      </w:r>
      <w:r>
        <w:rPr/>
        <w:t>and</w:t>
      </w:r>
      <w:r>
        <w:rPr>
          <w:spacing w:val="40"/>
        </w:rPr>
        <w:t> </w:t>
      </w:r>
      <w:r>
        <w:rPr/>
        <w:t>Communications</w:t>
      </w:r>
      <w:r>
        <w:rPr>
          <w:spacing w:val="40"/>
        </w:rPr>
        <w:t> </w:t>
      </w:r>
      <w:r>
        <w:rPr/>
        <w:t>Decade</w:t>
      </w:r>
      <w:r>
        <w:rPr>
          <w:spacing w:val="40"/>
        </w:rPr>
        <w:t> </w:t>
      </w:r>
      <w:r>
        <w:rPr/>
        <w:t>in</w:t>
      </w:r>
      <w:r>
        <w:rPr>
          <w:spacing w:val="40"/>
        </w:rPr>
        <w:t> </w:t>
      </w:r>
      <w:r>
        <w:rPr/>
        <w:t>African (1978 – 1988).</w:t>
      </w:r>
    </w:p>
    <w:p>
      <w:pPr>
        <w:pStyle w:val="BodyText"/>
        <w:spacing w:before="6"/>
        <w:rPr>
          <w:sz w:val="33"/>
        </w:rPr>
      </w:pPr>
    </w:p>
    <w:p>
      <w:pPr>
        <w:pStyle w:val="BodyText"/>
        <w:spacing w:line="369" w:lineRule="auto" w:before="1"/>
        <w:ind w:left="171" w:right="159" w:firstLine="676"/>
        <w:jc w:val="both"/>
      </w:pPr>
      <w:r>
        <w:rPr>
          <w:b/>
          <w:u w:val="single"/>
        </w:rPr>
        <w:t>Recalling</w:t>
      </w:r>
      <w:r>
        <w:rPr>
          <w:b/>
        </w:rPr>
        <w:t> </w:t>
      </w:r>
      <w:r>
        <w:rPr/>
        <w:t>Resolution CM/Res. 675 (XXXI) on the United Nations Transport and communications Decade adopted in Khartoum in July 1978;</w:t>
      </w:r>
    </w:p>
    <w:p>
      <w:pPr>
        <w:pStyle w:val="BodyText"/>
        <w:rPr>
          <w:sz w:val="34"/>
        </w:rPr>
      </w:pPr>
    </w:p>
    <w:p>
      <w:pPr>
        <w:pStyle w:val="BodyText"/>
        <w:spacing w:line="367" w:lineRule="auto" w:before="1"/>
        <w:ind w:left="171" w:right="140" w:firstLine="676"/>
        <w:jc w:val="both"/>
      </w:pPr>
      <w:r>
        <w:rPr>
          <w:b/>
          <w:u w:val="single"/>
        </w:rPr>
        <w:t>Commending</w:t>
      </w:r>
      <w:r>
        <w:rPr>
          <w:b/>
        </w:rPr>
        <w:t> </w:t>
      </w:r>
      <w:r>
        <w:rPr/>
        <w:t>the results of the Conference of Ministers responsible for transport, communication and planning (9 – 12 May 1979 Addis Ababa) which adopted an overall</w:t>
      </w:r>
      <w:r>
        <w:rPr>
          <w:spacing w:val="40"/>
        </w:rPr>
        <w:t> </w:t>
      </w:r>
      <w:r>
        <w:rPr/>
        <w:t>strategy</w:t>
      </w:r>
      <w:r>
        <w:rPr>
          <w:spacing w:val="36"/>
        </w:rPr>
        <w:t> </w:t>
      </w:r>
      <w:r>
        <w:rPr/>
        <w:t>for</w:t>
      </w:r>
      <w:r>
        <w:rPr>
          <w:spacing w:val="40"/>
        </w:rPr>
        <w:t> </w:t>
      </w:r>
      <w:r>
        <w:rPr/>
        <w:t>the</w:t>
      </w:r>
      <w:r>
        <w:rPr>
          <w:spacing w:val="40"/>
        </w:rPr>
        <w:t> </w:t>
      </w:r>
      <w:r>
        <w:rPr/>
        <w:t>Decade</w:t>
      </w:r>
      <w:r>
        <w:rPr>
          <w:spacing w:val="40"/>
        </w:rPr>
        <w:t> </w:t>
      </w:r>
      <w:r>
        <w:rPr/>
        <w:t>and</w:t>
      </w:r>
      <w:r>
        <w:rPr>
          <w:spacing w:val="40"/>
        </w:rPr>
        <w:t> </w:t>
      </w:r>
      <w:r>
        <w:rPr/>
        <w:t>a</w:t>
      </w:r>
      <w:r>
        <w:rPr>
          <w:spacing w:val="40"/>
        </w:rPr>
        <w:t> </w:t>
      </w:r>
      <w:r>
        <w:rPr/>
        <w:t>programme</w:t>
      </w:r>
      <w:r>
        <w:rPr>
          <w:spacing w:val="40"/>
        </w:rPr>
        <w:t> </w:t>
      </w:r>
      <w:r>
        <w:rPr/>
        <w:t>of</w:t>
      </w:r>
      <w:r>
        <w:rPr>
          <w:spacing w:val="40"/>
        </w:rPr>
        <w:t> </w:t>
      </w:r>
      <w:r>
        <w:rPr/>
        <w:t>investments</w:t>
      </w:r>
      <w:r>
        <w:rPr>
          <w:spacing w:val="40"/>
        </w:rPr>
        <w:t> </w:t>
      </w:r>
      <w:r>
        <w:rPr/>
        <w:t>and</w:t>
      </w:r>
      <w:r>
        <w:rPr>
          <w:spacing w:val="40"/>
        </w:rPr>
        <w:t> </w:t>
      </w:r>
      <w:r>
        <w:rPr/>
        <w:t>action</w:t>
      </w:r>
      <w:r>
        <w:rPr>
          <w:spacing w:val="40"/>
        </w:rPr>
        <w:t> </w:t>
      </w:r>
      <w:r>
        <w:rPr/>
        <w:t>for</w:t>
      </w:r>
      <w:r>
        <w:rPr>
          <w:spacing w:val="40"/>
        </w:rPr>
        <w:t> </w:t>
      </w:r>
      <w:r>
        <w:rPr/>
        <w:t>the</w:t>
      </w:r>
      <w:r>
        <w:rPr>
          <w:spacing w:val="40"/>
        </w:rPr>
        <w:t> </w:t>
      </w:r>
      <w:r>
        <w:rPr/>
        <w:t>first</w:t>
      </w:r>
      <w:r>
        <w:rPr>
          <w:spacing w:val="40"/>
        </w:rPr>
        <w:t> </w:t>
      </w:r>
      <w:r>
        <w:rPr/>
        <w:t>4</w:t>
      </w:r>
      <w:r>
        <w:rPr>
          <w:spacing w:val="-14"/>
        </w:rPr>
        <w:t> </w:t>
      </w:r>
      <w:r>
        <w:rPr/>
        <w:t>-years </w:t>
      </w:r>
      <w:r>
        <w:rPr>
          <w:spacing w:val="-2"/>
        </w:rPr>
        <w:t>phase:</w:t>
      </w:r>
    </w:p>
    <w:p>
      <w:pPr>
        <w:pStyle w:val="BodyText"/>
        <w:spacing w:before="4"/>
        <w:rPr>
          <w:sz w:val="34"/>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CONGRATULATES</w:t>
      </w:r>
      <w:r>
        <w:rPr>
          <w:b/>
          <w:spacing w:val="40"/>
          <w:sz w:val="22"/>
        </w:rPr>
        <w:t> </w:t>
      </w:r>
      <w:r>
        <w:rPr>
          <w:sz w:val="22"/>
        </w:rPr>
        <w:t>the</w:t>
      </w:r>
      <w:r>
        <w:rPr>
          <w:spacing w:val="40"/>
          <w:sz w:val="22"/>
        </w:rPr>
        <w:t> </w:t>
      </w:r>
      <w:r>
        <w:rPr>
          <w:sz w:val="22"/>
        </w:rPr>
        <w:t>OAU</w:t>
      </w:r>
      <w:r>
        <w:rPr>
          <w:spacing w:val="40"/>
          <w:sz w:val="22"/>
        </w:rPr>
        <w:t> </w:t>
      </w:r>
      <w:r>
        <w:rPr>
          <w:sz w:val="22"/>
        </w:rPr>
        <w:t>and</w:t>
      </w:r>
      <w:r>
        <w:rPr>
          <w:spacing w:val="40"/>
          <w:sz w:val="22"/>
        </w:rPr>
        <w:t> </w:t>
      </w:r>
      <w:r>
        <w:rPr>
          <w:sz w:val="22"/>
        </w:rPr>
        <w:t>ECA</w:t>
      </w:r>
      <w:r>
        <w:rPr>
          <w:spacing w:val="40"/>
          <w:sz w:val="22"/>
        </w:rPr>
        <w:t> </w:t>
      </w:r>
      <w:r>
        <w:rPr>
          <w:sz w:val="22"/>
        </w:rPr>
        <w:t>Secretariats</w:t>
      </w:r>
      <w:r>
        <w:rPr>
          <w:spacing w:val="40"/>
          <w:sz w:val="22"/>
        </w:rPr>
        <w:t> </w:t>
      </w:r>
      <w:r>
        <w:rPr>
          <w:sz w:val="22"/>
        </w:rPr>
        <w:t>on</w:t>
      </w:r>
      <w:r>
        <w:rPr>
          <w:spacing w:val="40"/>
          <w:sz w:val="22"/>
        </w:rPr>
        <w:t> </w:t>
      </w:r>
      <w:r>
        <w:rPr>
          <w:sz w:val="22"/>
        </w:rPr>
        <w:t>the</w:t>
      </w:r>
      <w:r>
        <w:rPr>
          <w:spacing w:val="40"/>
          <w:sz w:val="22"/>
        </w:rPr>
        <w:t> </w:t>
      </w:r>
      <w:r>
        <w:rPr>
          <w:sz w:val="22"/>
        </w:rPr>
        <w:t>work</w:t>
      </w:r>
      <w:r>
        <w:rPr>
          <w:spacing w:val="40"/>
          <w:sz w:val="22"/>
        </w:rPr>
        <w:t> </w:t>
      </w:r>
      <w:r>
        <w:rPr>
          <w:sz w:val="22"/>
        </w:rPr>
        <w:t>done</w:t>
      </w:r>
      <w:r>
        <w:rPr>
          <w:spacing w:val="40"/>
          <w:sz w:val="22"/>
        </w:rPr>
        <w:t> </w:t>
      </w:r>
      <w:r>
        <w:rPr>
          <w:sz w:val="22"/>
        </w:rPr>
        <w:t>so</w:t>
      </w:r>
      <w:r>
        <w:rPr>
          <w:spacing w:val="40"/>
          <w:sz w:val="22"/>
        </w:rPr>
        <w:t> </w:t>
      </w:r>
      <w:r>
        <w:rPr>
          <w:sz w:val="22"/>
        </w:rPr>
        <w:t>far and encourages them to continue their efforts in the preparation of the pledging Conference scheduled for 19 November 1979 in New York and for the implementation of the Decade programme;</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57" w:hanging="336"/>
        <w:jc w:val="both"/>
        <w:rPr>
          <w:sz w:val="22"/>
        </w:rPr>
      </w:pPr>
      <w:r>
        <w:rPr>
          <w:b/>
          <w:sz w:val="22"/>
        </w:rPr>
        <w:t>REQUESTS </w:t>
      </w:r>
      <w:r>
        <w:rPr>
          <w:sz w:val="22"/>
        </w:rPr>
        <w:t>Member States to give priority to the projects presented at the Conference of African Ministers of Transport, Communications and Planning and incorporate these programmes into their national development plans;</w:t>
      </w:r>
    </w:p>
    <w:p>
      <w:pPr>
        <w:pStyle w:val="BodyText"/>
        <w:spacing w:before="7"/>
        <w:rPr>
          <w:sz w:val="33"/>
        </w:rPr>
      </w:pPr>
    </w:p>
    <w:p>
      <w:pPr>
        <w:pStyle w:val="ListParagraph"/>
        <w:numPr>
          <w:ilvl w:val="0"/>
          <w:numId w:val="1"/>
        </w:numPr>
        <w:tabs>
          <w:tab w:pos="1185" w:val="left" w:leader="none"/>
        </w:tabs>
        <w:spacing w:line="369" w:lineRule="auto" w:before="0" w:after="0"/>
        <w:ind w:left="1183" w:right="147" w:hanging="336"/>
        <w:jc w:val="both"/>
        <w:rPr>
          <w:sz w:val="22"/>
        </w:rPr>
      </w:pPr>
      <w:r>
        <w:rPr>
          <w:b/>
          <w:sz w:val="22"/>
        </w:rPr>
        <w:t>APPEALS</w:t>
      </w:r>
      <w:r>
        <w:rPr>
          <w:b/>
          <w:spacing w:val="40"/>
          <w:sz w:val="22"/>
        </w:rPr>
        <w:t> </w:t>
      </w:r>
      <w:r>
        <w:rPr>
          <w:sz w:val="22"/>
        </w:rPr>
        <w:t>to</w:t>
      </w:r>
      <w:r>
        <w:rPr>
          <w:spacing w:val="40"/>
          <w:sz w:val="22"/>
        </w:rPr>
        <w:t> </w:t>
      </w:r>
      <w:r>
        <w:rPr>
          <w:sz w:val="22"/>
        </w:rPr>
        <w:t>Member</w:t>
      </w:r>
      <w:r>
        <w:rPr>
          <w:spacing w:val="40"/>
          <w:sz w:val="22"/>
        </w:rPr>
        <w:t> </w:t>
      </w:r>
      <w:r>
        <w:rPr>
          <w:sz w:val="22"/>
        </w:rPr>
        <w:t>States</w:t>
      </w:r>
      <w:r>
        <w:rPr>
          <w:spacing w:val="40"/>
          <w:sz w:val="22"/>
        </w:rPr>
        <w:t> </w:t>
      </w:r>
      <w:r>
        <w:rPr>
          <w:sz w:val="22"/>
        </w:rPr>
        <w:t>that</w:t>
      </w:r>
      <w:r>
        <w:rPr>
          <w:spacing w:val="40"/>
          <w:sz w:val="22"/>
        </w:rPr>
        <w:t> </w:t>
      </w:r>
      <w:r>
        <w:rPr>
          <w:sz w:val="22"/>
        </w:rPr>
        <w:t>in</w:t>
      </w:r>
      <w:r>
        <w:rPr>
          <w:spacing w:val="40"/>
          <w:sz w:val="22"/>
        </w:rPr>
        <w:t> </w:t>
      </w:r>
      <w:r>
        <w:rPr>
          <w:sz w:val="22"/>
        </w:rPr>
        <w:t>the</w:t>
      </w:r>
      <w:r>
        <w:rPr>
          <w:spacing w:val="40"/>
          <w:sz w:val="22"/>
        </w:rPr>
        <w:t> </w:t>
      </w:r>
      <w:r>
        <w:rPr>
          <w:sz w:val="22"/>
        </w:rPr>
        <w:t>implementation</w:t>
      </w:r>
      <w:r>
        <w:rPr>
          <w:spacing w:val="40"/>
          <w:sz w:val="22"/>
        </w:rPr>
        <w:t> </w:t>
      </w:r>
      <w:r>
        <w:rPr>
          <w:sz w:val="22"/>
        </w:rPr>
        <w:t>of</w:t>
      </w:r>
      <w:r>
        <w:rPr>
          <w:spacing w:val="40"/>
          <w:sz w:val="22"/>
        </w:rPr>
        <w:t> </w:t>
      </w:r>
      <w:r>
        <w:rPr>
          <w:sz w:val="22"/>
        </w:rPr>
        <w:t>the</w:t>
      </w:r>
      <w:r>
        <w:rPr>
          <w:spacing w:val="40"/>
          <w:sz w:val="22"/>
        </w:rPr>
        <w:t> </w:t>
      </w:r>
      <w:r>
        <w:rPr>
          <w:sz w:val="22"/>
        </w:rPr>
        <w:t>Decade Programme</w:t>
      </w:r>
      <w:r>
        <w:rPr>
          <w:spacing w:val="40"/>
          <w:sz w:val="22"/>
        </w:rPr>
        <w:t> </w:t>
      </w:r>
      <w:r>
        <w:rPr>
          <w:sz w:val="22"/>
        </w:rPr>
        <w:t>and</w:t>
      </w:r>
      <w:r>
        <w:rPr>
          <w:spacing w:val="40"/>
          <w:sz w:val="22"/>
        </w:rPr>
        <w:t> </w:t>
      </w:r>
      <w:r>
        <w:rPr>
          <w:sz w:val="22"/>
        </w:rPr>
        <w:t>Plan</w:t>
      </w:r>
      <w:r>
        <w:rPr>
          <w:spacing w:val="40"/>
          <w:sz w:val="22"/>
        </w:rPr>
        <w:t> </w:t>
      </w:r>
      <w:r>
        <w:rPr>
          <w:sz w:val="22"/>
        </w:rPr>
        <w:t>of</w:t>
      </w:r>
      <w:r>
        <w:rPr>
          <w:spacing w:val="40"/>
          <w:sz w:val="22"/>
        </w:rPr>
        <w:t> </w:t>
      </w:r>
      <w:r>
        <w:rPr>
          <w:sz w:val="22"/>
        </w:rPr>
        <w:t>Action</w:t>
      </w:r>
      <w:r>
        <w:rPr>
          <w:spacing w:val="40"/>
          <w:sz w:val="22"/>
        </w:rPr>
        <w:t> </w:t>
      </w:r>
      <w:r>
        <w:rPr>
          <w:sz w:val="22"/>
        </w:rPr>
        <w:t>to</w:t>
      </w:r>
      <w:r>
        <w:rPr>
          <w:spacing w:val="40"/>
          <w:sz w:val="22"/>
        </w:rPr>
        <w:t> </w:t>
      </w:r>
      <w:r>
        <w:rPr>
          <w:sz w:val="22"/>
        </w:rPr>
        <w:t>take</w:t>
      </w:r>
      <w:r>
        <w:rPr>
          <w:spacing w:val="40"/>
          <w:sz w:val="22"/>
        </w:rPr>
        <w:t> </w:t>
      </w:r>
      <w:r>
        <w:rPr>
          <w:sz w:val="22"/>
        </w:rPr>
        <w:t>special</w:t>
      </w:r>
      <w:r>
        <w:rPr>
          <w:spacing w:val="40"/>
          <w:sz w:val="22"/>
        </w:rPr>
        <w:t> </w:t>
      </w:r>
      <w:r>
        <w:rPr>
          <w:sz w:val="22"/>
        </w:rPr>
        <w:t>account</w:t>
      </w:r>
      <w:r>
        <w:rPr>
          <w:spacing w:val="40"/>
          <w:sz w:val="22"/>
        </w:rPr>
        <w:t> </w:t>
      </w:r>
      <w:r>
        <w:rPr>
          <w:sz w:val="22"/>
        </w:rPr>
        <w:t>of</w:t>
      </w:r>
      <w:r>
        <w:rPr>
          <w:spacing w:val="40"/>
          <w:sz w:val="22"/>
        </w:rPr>
        <w:t> </w:t>
      </w:r>
      <w:r>
        <w:rPr>
          <w:sz w:val="22"/>
        </w:rPr>
        <w:t>the</w:t>
      </w:r>
      <w:r>
        <w:rPr>
          <w:spacing w:val="40"/>
          <w:sz w:val="22"/>
        </w:rPr>
        <w:t> </w:t>
      </w:r>
      <w:r>
        <w:rPr>
          <w:sz w:val="22"/>
        </w:rPr>
        <w:t>least</w:t>
      </w:r>
      <w:r>
        <w:rPr>
          <w:spacing w:val="40"/>
          <w:sz w:val="22"/>
        </w:rPr>
        <w:t> </w:t>
      </w:r>
      <w:r>
        <w:rPr>
          <w:sz w:val="22"/>
        </w:rPr>
        <w:t>developed island and landlocked countries;</w:t>
      </w:r>
    </w:p>
    <w:p>
      <w:pPr>
        <w:pStyle w:val="BodyText"/>
        <w:spacing w:before="7"/>
        <w:rPr>
          <w:sz w:val="33"/>
        </w:rPr>
      </w:pPr>
    </w:p>
    <w:p>
      <w:pPr>
        <w:pStyle w:val="ListParagraph"/>
        <w:numPr>
          <w:ilvl w:val="0"/>
          <w:numId w:val="1"/>
        </w:numPr>
        <w:tabs>
          <w:tab w:pos="1184" w:val="left" w:leader="none"/>
        </w:tabs>
        <w:spacing w:line="369" w:lineRule="auto" w:before="0" w:after="0"/>
        <w:ind w:left="1183" w:right="150" w:hanging="336"/>
        <w:jc w:val="both"/>
        <w:rPr>
          <w:sz w:val="22"/>
        </w:rPr>
      </w:pPr>
      <w:r>
        <w:rPr>
          <w:b/>
          <w:sz w:val="22"/>
        </w:rPr>
        <w:t>INVITES</w:t>
      </w:r>
      <w:r>
        <w:rPr>
          <w:b/>
          <w:spacing w:val="40"/>
          <w:sz w:val="22"/>
        </w:rPr>
        <w:t> </w:t>
      </w:r>
      <w:r>
        <w:rPr>
          <w:sz w:val="22"/>
        </w:rPr>
        <w:t>the</w:t>
      </w:r>
      <w:r>
        <w:rPr>
          <w:spacing w:val="35"/>
          <w:sz w:val="22"/>
        </w:rPr>
        <w:t> </w:t>
      </w:r>
      <w:r>
        <w:rPr>
          <w:sz w:val="22"/>
        </w:rPr>
        <w:t>United</w:t>
      </w:r>
      <w:r>
        <w:rPr>
          <w:spacing w:val="36"/>
          <w:sz w:val="22"/>
        </w:rPr>
        <w:t> </w:t>
      </w:r>
      <w:r>
        <w:rPr>
          <w:sz w:val="22"/>
        </w:rPr>
        <w:t>Nations</w:t>
      </w:r>
      <w:r>
        <w:rPr>
          <w:spacing w:val="35"/>
          <w:sz w:val="22"/>
        </w:rPr>
        <w:t> </w:t>
      </w:r>
      <w:r>
        <w:rPr>
          <w:sz w:val="22"/>
        </w:rPr>
        <w:t>Secretary-General</w:t>
      </w:r>
      <w:r>
        <w:rPr>
          <w:spacing w:val="33"/>
          <w:sz w:val="22"/>
        </w:rPr>
        <w:t> </w:t>
      </w:r>
      <w:r>
        <w:rPr>
          <w:sz w:val="22"/>
        </w:rPr>
        <w:t>to</w:t>
      </w:r>
      <w:r>
        <w:rPr>
          <w:spacing w:val="35"/>
          <w:sz w:val="22"/>
        </w:rPr>
        <w:t> </w:t>
      </w:r>
      <w:r>
        <w:rPr>
          <w:sz w:val="22"/>
        </w:rPr>
        <w:t>have</w:t>
      </w:r>
      <w:r>
        <w:rPr>
          <w:spacing w:val="34"/>
          <w:sz w:val="22"/>
        </w:rPr>
        <w:t> </w:t>
      </w:r>
      <w:r>
        <w:rPr>
          <w:sz w:val="22"/>
        </w:rPr>
        <w:t>the</w:t>
      </w:r>
      <w:r>
        <w:rPr>
          <w:spacing w:val="34"/>
          <w:sz w:val="22"/>
        </w:rPr>
        <w:t> </w:t>
      </w:r>
      <w:r>
        <w:rPr>
          <w:sz w:val="22"/>
        </w:rPr>
        <w:t>necessary</w:t>
      </w:r>
      <w:r>
        <w:rPr>
          <w:spacing w:val="33"/>
          <w:sz w:val="22"/>
        </w:rPr>
        <w:t> </w:t>
      </w:r>
      <w:r>
        <w:rPr>
          <w:sz w:val="22"/>
        </w:rPr>
        <w:t>measured to be taken to ensure the success of the pledging Conference scheduled for 19 November 1979 in New York;</w:t>
      </w:r>
    </w:p>
    <w:p>
      <w:pPr>
        <w:pStyle w:val="BodyText"/>
        <w:rPr>
          <w:sz w:val="34"/>
        </w:rPr>
      </w:pPr>
    </w:p>
    <w:p>
      <w:pPr>
        <w:pStyle w:val="ListParagraph"/>
        <w:numPr>
          <w:ilvl w:val="0"/>
          <w:numId w:val="1"/>
        </w:numPr>
        <w:tabs>
          <w:tab w:pos="1185" w:val="left" w:leader="none"/>
        </w:tabs>
        <w:spacing w:line="367" w:lineRule="auto" w:before="1" w:after="0"/>
        <w:ind w:left="1183" w:right="151" w:hanging="336"/>
        <w:jc w:val="both"/>
        <w:rPr>
          <w:sz w:val="22"/>
        </w:rPr>
      </w:pPr>
      <w:r>
        <w:rPr>
          <w:b/>
          <w:sz w:val="22"/>
        </w:rPr>
        <w:t>APPEALS </w:t>
      </w:r>
      <w:r>
        <w:rPr>
          <w:sz w:val="22"/>
        </w:rPr>
        <w:t>to the International Community of Financial Institutions to take into consideration the serious problems that the Continent of African is facing in improving its transport and communications system.</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58848" type="#_x0000_t202" id="docshape1" filled="false" stroked="false">
          <v:textbox inset="0,0,0,0">
            <w:txbxContent>
              <w:p>
                <w:pPr>
                  <w:pStyle w:val="BodyText"/>
                  <w:spacing w:before="15"/>
                  <w:ind w:left="20"/>
                </w:pPr>
                <w:r>
                  <w:rPr/>
                  <w:t>CM/Res.</w:t>
                </w:r>
                <w:r>
                  <w:rPr>
                    <w:spacing w:val="13"/>
                  </w:rPr>
                  <w:t> </w:t>
                </w:r>
                <w:r>
                  <w:rPr/>
                  <w:t>738</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232" w:right="122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7"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2023-06-07T09:14:43Z</dcterms:created>
  <dcterms:modified xsi:type="dcterms:W3CDTF">2023-06-07T09:14:43Z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