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RESOLUTION</w:t>
      </w:r>
      <w:r>
        <w:rPr>
          <w:spacing w:val="8"/>
          <w:u w:val="single"/>
        </w:rPr>
        <w:t> </w:t>
      </w:r>
      <w:r>
        <w:rPr>
          <w:u w:val="single"/>
        </w:rPr>
        <w:t>ON</w:t>
      </w:r>
      <w:r>
        <w:rPr>
          <w:spacing w:val="9"/>
          <w:u w:val="single"/>
        </w:rPr>
        <w:t> </w:t>
      </w:r>
      <w:r>
        <w:rPr>
          <w:u w:val="single"/>
        </w:rPr>
        <w:t>DROUGHT</w:t>
      </w:r>
      <w:r>
        <w:rPr>
          <w:spacing w:val="9"/>
          <w:u w:val="single"/>
        </w:rPr>
        <w:t> </w:t>
      </w:r>
      <w:r>
        <w:rPr>
          <w:u w:val="single"/>
        </w:rPr>
        <w:t>AND</w:t>
      </w:r>
      <w:r>
        <w:rPr>
          <w:spacing w:val="9"/>
          <w:u w:val="single"/>
        </w:rPr>
        <w:t> </w:t>
      </w:r>
      <w:r>
        <w:rPr>
          <w:u w:val="single"/>
        </w:rPr>
        <w:t>OTHER</w:t>
      </w:r>
      <w:r>
        <w:rPr>
          <w:spacing w:val="9"/>
          <w:u w:val="single"/>
        </w:rPr>
        <w:t> </w:t>
      </w:r>
      <w:r>
        <w:rPr>
          <w:u w:val="single"/>
        </w:rPr>
        <w:t>NATURAL</w:t>
      </w:r>
      <w:r>
        <w:rPr>
          <w:spacing w:val="9"/>
          <w:u w:val="single"/>
        </w:rPr>
        <w:t> </w:t>
      </w:r>
      <w:r>
        <w:rPr>
          <w:spacing w:val="-2"/>
          <w:u w:val="single"/>
        </w:rPr>
        <w:t>DISASTERS</w:t>
      </w:r>
    </w:p>
    <w:p>
      <w:pPr>
        <w:pStyle w:val="BodyText"/>
        <w:rPr>
          <w:b/>
          <w:sz w:val="20"/>
        </w:rPr>
      </w:pPr>
    </w:p>
    <w:p>
      <w:pPr>
        <w:pStyle w:val="BodyText"/>
        <w:spacing w:before="10"/>
        <w:rPr>
          <w:b/>
          <w:sz w:val="16"/>
        </w:rPr>
      </w:pPr>
    </w:p>
    <w:p>
      <w:pPr>
        <w:pStyle w:val="BodyText"/>
        <w:spacing w:line="364" w:lineRule="auto" w:before="96"/>
        <w:ind w:left="171" w:right="142" w:firstLine="676"/>
        <w:jc w:val="both"/>
      </w:pPr>
      <w:r>
        <w:rPr/>
        <w:t>The Council of Ministers of the organization of African Unity meeting in its Thirty- third Ordinary Session in Monrovia, Liberia, from 6 to 20 July 1979;</w:t>
      </w:r>
    </w:p>
    <w:p>
      <w:pPr>
        <w:pStyle w:val="BodyText"/>
        <w:spacing w:before="6"/>
        <w:rPr>
          <w:sz w:val="34"/>
        </w:rPr>
      </w:pPr>
    </w:p>
    <w:p>
      <w:pPr>
        <w:pStyle w:val="BodyText"/>
        <w:spacing w:line="369" w:lineRule="auto"/>
        <w:ind w:left="171" w:right="156" w:firstLine="676"/>
        <w:jc w:val="both"/>
      </w:pPr>
      <w:r>
        <w:rPr>
          <w:b/>
          <w:u w:val="single"/>
        </w:rPr>
        <w:t>Having considered</w:t>
      </w:r>
      <w:r>
        <w:rPr>
          <w:b/>
        </w:rPr>
        <w:t> </w:t>
      </w:r>
      <w:r>
        <w:rPr/>
        <w:t>the report of the Secretary-General, document CM/988 (XXXIII) and annexes on the Sixth Ordinary Session of the OAU</w:t>
      </w:r>
      <w:r>
        <w:rPr>
          <w:spacing w:val="40"/>
        </w:rPr>
        <w:t> </w:t>
      </w:r>
      <w:r>
        <w:rPr>
          <w:u w:val="single"/>
        </w:rPr>
        <w:t>Ad Hoc</w:t>
      </w:r>
      <w:r>
        <w:rPr/>
        <w:t> Committee on Drought and other Natural Disasters held in Tunis from 21 to 23 May, 1979;</w:t>
      </w:r>
    </w:p>
    <w:p>
      <w:pPr>
        <w:pStyle w:val="BodyText"/>
        <w:spacing w:before="7"/>
        <w:rPr>
          <w:sz w:val="33"/>
        </w:rPr>
      </w:pPr>
    </w:p>
    <w:p>
      <w:pPr>
        <w:pStyle w:val="BodyText"/>
        <w:spacing w:line="369" w:lineRule="auto"/>
        <w:ind w:left="171" w:right="147" w:firstLine="676"/>
        <w:jc w:val="both"/>
      </w:pPr>
      <w:r>
        <w:rPr>
          <w:b/>
          <w:u w:val="single"/>
        </w:rPr>
        <w:t>Recalling</w:t>
      </w:r>
      <w:r>
        <w:rPr>
          <w:b/>
        </w:rPr>
        <w:t> </w:t>
      </w:r>
      <w:r>
        <w:rPr/>
        <w:t>Resolution CM/Res. 610 (XXX) adopted in Tripoli, Libya (20-28 February 1978) an dCM/646 (XXXI) adopted in Khartoum, Sudan (7</w:t>
      </w:r>
      <w:r>
        <w:rPr>
          <w:spacing w:val="-14"/>
        </w:rPr>
        <w:t> </w:t>
      </w:r>
      <w:r>
        <w:rPr/>
        <w:t>-15 July 1978) on the adoption of the recommendations of the Extra-ordinary Session of the </w:t>
      </w:r>
      <w:r>
        <w:rPr>
          <w:u w:val="single"/>
        </w:rPr>
        <w:t>Ad Hoc</w:t>
      </w:r>
      <w:r>
        <w:rPr/>
        <w:t> Committee held in Banjul Gambia</w:t>
      </w:r>
      <w:r>
        <w:rPr>
          <w:spacing w:val="26"/>
        </w:rPr>
        <w:t> </w:t>
      </w:r>
      <w:r>
        <w:rPr/>
        <w:t>from</w:t>
      </w:r>
      <w:r>
        <w:rPr>
          <w:spacing w:val="27"/>
        </w:rPr>
        <w:t> </w:t>
      </w:r>
      <w:r>
        <w:rPr/>
        <w:t>21</w:t>
      </w:r>
      <w:r>
        <w:rPr>
          <w:spacing w:val="27"/>
        </w:rPr>
        <w:t> </w:t>
      </w:r>
      <w:r>
        <w:rPr/>
        <w:t>to</w:t>
      </w:r>
      <w:r>
        <w:rPr>
          <w:spacing w:val="27"/>
        </w:rPr>
        <w:t> </w:t>
      </w:r>
      <w:r>
        <w:rPr/>
        <w:t>23</w:t>
      </w:r>
      <w:r>
        <w:rPr>
          <w:spacing w:val="27"/>
        </w:rPr>
        <w:t> </w:t>
      </w:r>
      <w:r>
        <w:rPr/>
        <w:t>March</w:t>
      </w:r>
      <w:r>
        <w:rPr>
          <w:spacing w:val="26"/>
        </w:rPr>
        <w:t> </w:t>
      </w:r>
      <w:r>
        <w:rPr/>
        <w:t>1978</w:t>
      </w:r>
      <w:r>
        <w:rPr>
          <w:spacing w:val="27"/>
        </w:rPr>
        <w:t> </w:t>
      </w:r>
      <w:r>
        <w:rPr/>
        <w:t>and</w:t>
      </w:r>
      <w:r>
        <w:rPr>
          <w:spacing w:val="27"/>
        </w:rPr>
        <w:t> </w:t>
      </w:r>
      <w:r>
        <w:rPr/>
        <w:t>relating</w:t>
      </w:r>
      <w:r>
        <w:rPr>
          <w:spacing w:val="25"/>
        </w:rPr>
        <w:t> </w:t>
      </w:r>
      <w:r>
        <w:rPr/>
        <w:t>to</w:t>
      </w:r>
      <w:r>
        <w:rPr>
          <w:spacing w:val="27"/>
        </w:rPr>
        <w:t> </w:t>
      </w:r>
      <w:r>
        <w:rPr/>
        <w:t>the</w:t>
      </w:r>
      <w:r>
        <w:rPr>
          <w:spacing w:val="26"/>
        </w:rPr>
        <w:t> </w:t>
      </w:r>
      <w:r>
        <w:rPr/>
        <w:t>drawing</w:t>
      </w:r>
      <w:r>
        <w:rPr>
          <w:spacing w:val="19"/>
        </w:rPr>
        <w:t> </w:t>
      </w:r>
      <w:r>
        <w:rPr/>
        <w:t>up</w:t>
      </w:r>
      <w:r>
        <w:rPr>
          <w:spacing w:val="21"/>
        </w:rPr>
        <w:t> </w:t>
      </w:r>
      <w:r>
        <w:rPr/>
        <w:t>of</w:t>
      </w:r>
      <w:r>
        <w:rPr>
          <w:spacing w:val="19"/>
        </w:rPr>
        <w:t> </w:t>
      </w:r>
      <w:r>
        <w:rPr/>
        <w:t>a</w:t>
      </w:r>
      <w:r>
        <w:rPr>
          <w:spacing w:val="19"/>
        </w:rPr>
        <w:t> </w:t>
      </w:r>
      <w:r>
        <w:rPr/>
        <w:t>concrete</w:t>
      </w:r>
      <w:r>
        <w:rPr>
          <w:spacing w:val="19"/>
        </w:rPr>
        <w:t> </w:t>
      </w:r>
      <w:r>
        <w:rPr/>
        <w:t>programme of control of drought, desertification and other natural disasters;</w:t>
      </w:r>
    </w:p>
    <w:p>
      <w:pPr>
        <w:pStyle w:val="BodyText"/>
        <w:spacing w:before="6"/>
        <w:rPr>
          <w:sz w:val="33"/>
        </w:rPr>
      </w:pPr>
    </w:p>
    <w:p>
      <w:pPr>
        <w:pStyle w:val="BodyText"/>
        <w:spacing w:line="372" w:lineRule="auto"/>
        <w:ind w:left="171" w:right="154" w:firstLine="677"/>
        <w:jc w:val="both"/>
      </w:pPr>
      <w:r>
        <w:rPr>
          <w:b/>
          <w:u w:val="single"/>
        </w:rPr>
        <w:t>Further recalling</w:t>
      </w:r>
      <w:r>
        <w:rPr>
          <w:b/>
        </w:rPr>
        <w:t> </w:t>
      </w:r>
      <w:r>
        <w:rPr/>
        <w:t>the importance of the conclusions of the Colloquium on the</w:t>
      </w:r>
      <w:r>
        <w:rPr>
          <w:spacing w:val="80"/>
        </w:rPr>
        <w:t> </w:t>
      </w:r>
      <w:r>
        <w:rPr/>
        <w:t>prospects of development in Africa by the year 2000 held in Monrovia, Liberia in February </w:t>
      </w:r>
      <w:r>
        <w:rPr>
          <w:spacing w:val="-2"/>
        </w:rPr>
        <w:t>1979;</w:t>
      </w:r>
    </w:p>
    <w:p>
      <w:pPr>
        <w:pStyle w:val="BodyText"/>
        <w:spacing w:before="4"/>
        <w:rPr>
          <w:sz w:val="33"/>
        </w:rPr>
      </w:pPr>
    </w:p>
    <w:p>
      <w:pPr>
        <w:pStyle w:val="BodyText"/>
        <w:spacing w:line="369" w:lineRule="auto"/>
        <w:ind w:left="171" w:right="157" w:firstLine="676"/>
        <w:jc w:val="both"/>
      </w:pPr>
      <w:r>
        <w:rPr>
          <w:b/>
          <w:u w:val="single"/>
        </w:rPr>
        <w:t>Recalling</w:t>
      </w:r>
      <w:r>
        <w:rPr>
          <w:b/>
          <w:spacing w:val="40"/>
        </w:rPr>
        <w:t> </w:t>
      </w:r>
      <w:r>
        <w:rPr/>
        <w:t>the</w:t>
      </w:r>
      <w:r>
        <w:rPr>
          <w:spacing w:val="40"/>
        </w:rPr>
        <w:t> </w:t>
      </w:r>
      <w:r>
        <w:rPr/>
        <w:t>various</w:t>
      </w:r>
      <w:r>
        <w:rPr>
          <w:spacing w:val="40"/>
        </w:rPr>
        <w:t> </w:t>
      </w:r>
      <w:r>
        <w:rPr/>
        <w:t>cooperation</w:t>
      </w:r>
      <w:r>
        <w:rPr>
          <w:spacing w:val="40"/>
        </w:rPr>
        <w:t> </w:t>
      </w:r>
      <w:r>
        <w:rPr/>
        <w:t>agreements</w:t>
      </w:r>
      <w:r>
        <w:rPr>
          <w:spacing w:val="40"/>
        </w:rPr>
        <w:t> </w:t>
      </w:r>
      <w:r>
        <w:rPr/>
        <w:t>governing</w:t>
      </w:r>
      <w:r>
        <w:rPr>
          <w:spacing w:val="40"/>
        </w:rPr>
        <w:t> </w:t>
      </w:r>
      <w:r>
        <w:rPr/>
        <w:t>the</w:t>
      </w:r>
      <w:r>
        <w:rPr>
          <w:spacing w:val="40"/>
        </w:rPr>
        <w:t> </w:t>
      </w:r>
      <w:r>
        <w:rPr/>
        <w:t>relations</w:t>
      </w:r>
      <w:r>
        <w:rPr>
          <w:spacing w:val="40"/>
        </w:rPr>
        <w:t> </w:t>
      </w:r>
      <w:r>
        <w:rPr/>
        <w:t>of</w:t>
      </w:r>
      <w:r>
        <w:rPr>
          <w:spacing w:val="40"/>
        </w:rPr>
        <w:t> </w:t>
      </w:r>
      <w:r>
        <w:rPr/>
        <w:t>the</w:t>
      </w:r>
      <w:r>
        <w:rPr>
          <w:spacing w:val="40"/>
        </w:rPr>
        <w:t> </w:t>
      </w:r>
      <w:r>
        <w:rPr/>
        <w:t>OAU with other international organizations, particularly with those of the United Nations System (FAO, UNEP, ENDP, WHO etc.),</w:t>
      </w:r>
    </w:p>
    <w:p>
      <w:pPr>
        <w:pStyle w:val="BodyText"/>
        <w:spacing w:before="7"/>
        <w:rPr>
          <w:sz w:val="33"/>
        </w:rPr>
      </w:pPr>
    </w:p>
    <w:p>
      <w:pPr>
        <w:pStyle w:val="BodyText"/>
        <w:spacing w:line="369" w:lineRule="auto"/>
        <w:ind w:left="171" w:right="152" w:firstLine="676"/>
        <w:jc w:val="both"/>
      </w:pPr>
      <w:r>
        <w:rPr>
          <w:b/>
          <w:u w:val="single"/>
        </w:rPr>
        <w:t>Considering</w:t>
      </w:r>
      <w:r>
        <w:rPr>
          <w:b/>
          <w:spacing w:val="40"/>
        </w:rPr>
        <w:t> </w:t>
      </w:r>
      <w:r>
        <w:rPr/>
        <w:t>the political role often asserted by the Heads of State of the Member</w:t>
      </w:r>
      <w:r>
        <w:rPr>
          <w:spacing w:val="40"/>
        </w:rPr>
        <w:t> </w:t>
      </w:r>
      <w:r>
        <w:rPr/>
        <w:t>States</w:t>
      </w:r>
      <w:r>
        <w:rPr>
          <w:spacing w:val="40"/>
        </w:rPr>
        <w:t> </w:t>
      </w:r>
      <w:r>
        <w:rPr/>
        <w:t>of</w:t>
      </w:r>
      <w:r>
        <w:rPr>
          <w:spacing w:val="40"/>
        </w:rPr>
        <w:t> </w:t>
      </w:r>
      <w:r>
        <w:rPr/>
        <w:t>the</w:t>
      </w:r>
      <w:r>
        <w:rPr>
          <w:spacing w:val="40"/>
        </w:rPr>
        <w:t> </w:t>
      </w:r>
      <w:r>
        <w:rPr/>
        <w:t>OAU</w:t>
      </w:r>
      <w:r>
        <w:rPr>
          <w:spacing w:val="40"/>
        </w:rPr>
        <w:t> </w:t>
      </w:r>
      <w:r>
        <w:rPr/>
        <w:t>to</w:t>
      </w:r>
      <w:r>
        <w:rPr>
          <w:spacing w:val="40"/>
        </w:rPr>
        <w:t> </w:t>
      </w:r>
      <w:r>
        <w:rPr/>
        <w:t>lead</w:t>
      </w:r>
      <w:r>
        <w:rPr>
          <w:spacing w:val="40"/>
        </w:rPr>
        <w:t> </w:t>
      </w:r>
      <w:r>
        <w:rPr/>
        <w:t>their</w:t>
      </w:r>
      <w:r>
        <w:rPr>
          <w:spacing w:val="40"/>
        </w:rPr>
        <w:t> </w:t>
      </w:r>
      <w:r>
        <w:rPr/>
        <w:t>countries</w:t>
      </w:r>
      <w:r>
        <w:rPr>
          <w:spacing w:val="40"/>
        </w:rPr>
        <w:t> </w:t>
      </w:r>
      <w:r>
        <w:rPr/>
        <w:t>to</w:t>
      </w:r>
      <w:r>
        <w:rPr>
          <w:spacing w:val="40"/>
        </w:rPr>
        <w:t> </w:t>
      </w:r>
      <w:r>
        <w:rPr/>
        <w:t>self-sufficiency</w:t>
      </w:r>
      <w:r>
        <w:rPr>
          <w:spacing w:val="40"/>
        </w:rPr>
        <w:t> </w:t>
      </w:r>
      <w:r>
        <w:rPr/>
        <w:t>in</w:t>
      </w:r>
      <w:r>
        <w:rPr>
          <w:spacing w:val="40"/>
        </w:rPr>
        <w:t> </w:t>
      </w:r>
      <w:r>
        <w:rPr/>
        <w:t>food</w:t>
      </w:r>
      <w:r>
        <w:rPr>
          <w:spacing w:val="40"/>
        </w:rPr>
        <w:t> </w:t>
      </w:r>
      <w:r>
        <w:rPr/>
        <w:t>production</w:t>
      </w:r>
      <w:r>
        <w:rPr>
          <w:spacing w:val="40"/>
        </w:rPr>
        <w:t> </w:t>
      </w:r>
      <w:r>
        <w:rPr/>
        <w:t>and</w:t>
      </w:r>
      <w:r>
        <w:rPr>
          <w:spacing w:val="40"/>
        </w:rPr>
        <w:t> </w:t>
      </w:r>
      <w:r>
        <w:rPr/>
        <w:t>to promote a national environment preservation policy;</w:t>
      </w:r>
    </w:p>
    <w:p>
      <w:pPr>
        <w:pStyle w:val="BodyText"/>
        <w:spacing w:before="7"/>
        <w:rPr>
          <w:sz w:val="33"/>
        </w:rPr>
      </w:pPr>
    </w:p>
    <w:p>
      <w:pPr>
        <w:pStyle w:val="BodyText"/>
        <w:spacing w:line="372" w:lineRule="auto"/>
        <w:ind w:left="171" w:right="144" w:firstLine="676"/>
        <w:jc w:val="both"/>
      </w:pPr>
      <w:r>
        <w:rPr>
          <w:b/>
          <w:u w:val="single"/>
        </w:rPr>
        <w:t>Considering</w:t>
      </w:r>
      <w:r>
        <w:rPr>
          <w:b/>
          <w:spacing w:val="40"/>
        </w:rPr>
        <w:t> </w:t>
      </w:r>
      <w:r>
        <w:rPr/>
        <w:t>the</w:t>
      </w:r>
      <w:r>
        <w:rPr>
          <w:spacing w:val="38"/>
        </w:rPr>
        <w:t> </w:t>
      </w:r>
      <w:r>
        <w:rPr/>
        <w:t>targets</w:t>
      </w:r>
      <w:r>
        <w:rPr>
          <w:spacing w:val="38"/>
        </w:rPr>
        <w:t> </w:t>
      </w:r>
      <w:r>
        <w:rPr/>
        <w:t>of</w:t>
      </w:r>
      <w:r>
        <w:rPr>
          <w:spacing w:val="38"/>
        </w:rPr>
        <w:t> </w:t>
      </w:r>
      <w:r>
        <w:rPr/>
        <w:t>national,</w:t>
      </w:r>
      <w:r>
        <w:rPr>
          <w:spacing w:val="39"/>
        </w:rPr>
        <w:t> </w:t>
      </w:r>
      <w:r>
        <w:rPr/>
        <w:t>sub-regional</w:t>
      </w:r>
      <w:r>
        <w:rPr>
          <w:spacing w:val="37"/>
        </w:rPr>
        <w:t> </w:t>
      </w:r>
      <w:r>
        <w:rPr/>
        <w:t>and</w:t>
      </w:r>
      <w:r>
        <w:rPr>
          <w:spacing w:val="38"/>
        </w:rPr>
        <w:t> </w:t>
      </w:r>
      <w:r>
        <w:rPr/>
        <w:t>regional</w:t>
      </w:r>
      <w:r>
        <w:rPr>
          <w:spacing w:val="37"/>
        </w:rPr>
        <w:t> </w:t>
      </w:r>
      <w:r>
        <w:rPr/>
        <w:t>plans</w:t>
      </w:r>
      <w:r>
        <w:rPr>
          <w:spacing w:val="35"/>
        </w:rPr>
        <w:t> </w:t>
      </w:r>
      <w:r>
        <w:rPr/>
        <w:t>with</w:t>
      </w:r>
      <w:r>
        <w:rPr>
          <w:spacing w:val="35"/>
        </w:rPr>
        <w:t> </w:t>
      </w:r>
      <w:r>
        <w:rPr/>
        <w:t>respect</w:t>
      </w:r>
      <w:r>
        <w:rPr>
          <w:spacing w:val="35"/>
        </w:rPr>
        <w:t> </w:t>
      </w:r>
      <w:r>
        <w:rPr/>
        <w:t>to the control of natural disasters in Africa, particularly of drought, desertification, tropical cyclones and depradators of all sorts;</w:t>
      </w:r>
    </w:p>
    <w:p>
      <w:pPr>
        <w:pStyle w:val="BodyText"/>
        <w:spacing w:before="4"/>
        <w:rPr>
          <w:sz w:val="33"/>
        </w:rPr>
      </w:pPr>
    </w:p>
    <w:p>
      <w:pPr>
        <w:pStyle w:val="ListParagraph"/>
        <w:numPr>
          <w:ilvl w:val="0"/>
          <w:numId w:val="1"/>
        </w:numPr>
        <w:tabs>
          <w:tab w:pos="1185" w:val="left" w:leader="none"/>
        </w:tabs>
        <w:spacing w:line="369" w:lineRule="auto" w:before="0" w:after="0"/>
        <w:ind w:left="1184" w:right="150" w:hanging="336"/>
        <w:jc w:val="both"/>
        <w:rPr>
          <w:sz w:val="22"/>
        </w:rPr>
      </w:pPr>
      <w:r>
        <w:rPr>
          <w:b/>
          <w:sz w:val="22"/>
        </w:rPr>
        <w:t>CONGRATULATES </w:t>
      </w:r>
      <w:r>
        <w:rPr>
          <w:sz w:val="22"/>
        </w:rPr>
        <w:t>the General Secretariat on the efforts which led to the elaboration of medium and long term preliminary programme of action in conformity</w:t>
      </w:r>
      <w:r>
        <w:rPr>
          <w:spacing w:val="40"/>
          <w:sz w:val="22"/>
        </w:rPr>
        <w:t> </w:t>
      </w:r>
      <w:r>
        <w:rPr>
          <w:sz w:val="22"/>
        </w:rPr>
        <w:t>with</w:t>
      </w:r>
      <w:r>
        <w:rPr>
          <w:spacing w:val="40"/>
          <w:sz w:val="22"/>
        </w:rPr>
        <w:t> </w:t>
      </w:r>
      <w:r>
        <w:rPr>
          <w:sz w:val="22"/>
        </w:rPr>
        <w:t>resolutions</w:t>
      </w:r>
      <w:r>
        <w:rPr>
          <w:spacing w:val="40"/>
          <w:sz w:val="22"/>
        </w:rPr>
        <w:t> </w:t>
      </w:r>
      <w:r>
        <w:rPr>
          <w:sz w:val="22"/>
        </w:rPr>
        <w:t>CM/Res.</w:t>
      </w:r>
      <w:r>
        <w:rPr>
          <w:spacing w:val="40"/>
          <w:sz w:val="22"/>
        </w:rPr>
        <w:t> </w:t>
      </w:r>
      <w:r>
        <w:rPr>
          <w:sz w:val="22"/>
        </w:rPr>
        <w:t>610</w:t>
      </w:r>
      <w:r>
        <w:rPr>
          <w:spacing w:val="40"/>
          <w:sz w:val="22"/>
        </w:rPr>
        <w:t> </w:t>
      </w:r>
      <w:r>
        <w:rPr>
          <w:sz w:val="22"/>
        </w:rPr>
        <w:t>(XXXI)</w:t>
      </w:r>
      <w:r>
        <w:rPr>
          <w:spacing w:val="40"/>
          <w:sz w:val="22"/>
        </w:rPr>
        <w:t> </w:t>
      </w:r>
      <w:r>
        <w:rPr>
          <w:sz w:val="22"/>
        </w:rPr>
        <w:t>and</w:t>
      </w:r>
      <w:r>
        <w:rPr>
          <w:spacing w:val="40"/>
          <w:sz w:val="22"/>
        </w:rPr>
        <w:t> </w:t>
      </w:r>
      <w:r>
        <w:rPr>
          <w:sz w:val="22"/>
        </w:rPr>
        <w:t>CM/Res.646</w:t>
      </w:r>
      <w:r>
        <w:rPr>
          <w:spacing w:val="40"/>
          <w:sz w:val="22"/>
        </w:rPr>
        <w:t> </w:t>
      </w:r>
      <w:r>
        <w:rPr>
          <w:sz w:val="22"/>
        </w:rPr>
        <w:t>(XXXII)</w:t>
      </w:r>
      <w:r>
        <w:rPr>
          <w:spacing w:val="40"/>
          <w:sz w:val="22"/>
        </w:rPr>
        <w:t> </w:t>
      </w:r>
      <w:r>
        <w:rPr>
          <w:sz w:val="22"/>
        </w:rPr>
        <w:t>of the 31</w:t>
      </w:r>
      <w:r>
        <w:rPr>
          <w:sz w:val="22"/>
          <w:vertAlign w:val="superscript"/>
        </w:rPr>
        <w:t>st</w:t>
      </w:r>
      <w:r>
        <w:rPr>
          <w:sz w:val="22"/>
          <w:vertAlign w:val="baseline"/>
        </w:rPr>
        <w:t> and 32</w:t>
      </w:r>
      <w:r>
        <w:rPr>
          <w:sz w:val="22"/>
          <w:vertAlign w:val="superscript"/>
        </w:rPr>
        <w:t>n</w:t>
      </w:r>
      <w:r>
        <w:rPr>
          <w:sz w:val="22"/>
          <w:vertAlign w:val="superscript"/>
        </w:rPr>
        <w:t>d</w:t>
      </w:r>
      <w:r>
        <w:rPr>
          <w:sz w:val="22"/>
          <w:vertAlign w:val="baseline"/>
        </w:rPr>
        <w:t> Ordinary Sessions;</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BodyText"/>
        <w:spacing w:before="4"/>
        <w:rPr>
          <w:sz w:val="26"/>
        </w:rPr>
      </w:pPr>
    </w:p>
    <w:p>
      <w:pPr>
        <w:pStyle w:val="ListParagraph"/>
        <w:numPr>
          <w:ilvl w:val="0"/>
          <w:numId w:val="1"/>
        </w:numPr>
        <w:tabs>
          <w:tab w:pos="1185" w:val="left" w:leader="none"/>
        </w:tabs>
        <w:spacing w:line="369" w:lineRule="auto" w:before="95" w:after="0"/>
        <w:ind w:left="1184" w:right="150" w:hanging="336"/>
        <w:jc w:val="both"/>
        <w:rPr>
          <w:sz w:val="22"/>
        </w:rPr>
      </w:pPr>
      <w:r>
        <w:rPr>
          <w:b/>
          <w:sz w:val="22"/>
        </w:rPr>
        <w:t>TAKES</w:t>
      </w:r>
      <w:r>
        <w:rPr>
          <w:b/>
          <w:spacing w:val="40"/>
          <w:sz w:val="22"/>
        </w:rPr>
        <w:t> </w:t>
      </w:r>
      <w:r>
        <w:rPr>
          <w:b/>
          <w:sz w:val="22"/>
        </w:rPr>
        <w:t>NOTE</w:t>
      </w:r>
      <w:r>
        <w:rPr>
          <w:b/>
          <w:spacing w:val="40"/>
          <w:sz w:val="22"/>
        </w:rPr>
        <w:t> </w:t>
      </w:r>
      <w:r>
        <w:rPr>
          <w:sz w:val="22"/>
        </w:rPr>
        <w:t>of</w:t>
      </w:r>
      <w:r>
        <w:rPr>
          <w:spacing w:val="40"/>
          <w:sz w:val="22"/>
        </w:rPr>
        <w:t> </w:t>
      </w:r>
      <w:r>
        <w:rPr>
          <w:sz w:val="22"/>
        </w:rPr>
        <w:t>the</w:t>
      </w:r>
      <w:r>
        <w:rPr>
          <w:spacing w:val="40"/>
          <w:sz w:val="22"/>
        </w:rPr>
        <w:t> </w:t>
      </w:r>
      <w:r>
        <w:rPr>
          <w:sz w:val="22"/>
        </w:rPr>
        <w:t>recommendations</w:t>
      </w:r>
      <w:r>
        <w:rPr>
          <w:spacing w:val="40"/>
          <w:sz w:val="22"/>
        </w:rPr>
        <w:t> </w:t>
      </w:r>
      <w:r>
        <w:rPr>
          <w:sz w:val="22"/>
        </w:rPr>
        <w:t>of</w:t>
      </w:r>
      <w:r>
        <w:rPr>
          <w:spacing w:val="40"/>
          <w:sz w:val="22"/>
        </w:rPr>
        <w:t> </w:t>
      </w:r>
      <w:r>
        <w:rPr>
          <w:sz w:val="22"/>
        </w:rPr>
        <w:t>the</w:t>
      </w:r>
      <w:r>
        <w:rPr>
          <w:spacing w:val="69"/>
          <w:sz w:val="22"/>
        </w:rPr>
        <w:t> </w:t>
      </w:r>
      <w:r>
        <w:rPr>
          <w:sz w:val="22"/>
          <w:u w:val="single"/>
        </w:rPr>
        <w:t>Ad</w:t>
      </w:r>
      <w:r>
        <w:rPr>
          <w:spacing w:val="40"/>
          <w:sz w:val="22"/>
          <w:u w:val="single"/>
        </w:rPr>
        <w:t> </w:t>
      </w:r>
      <w:r>
        <w:rPr>
          <w:sz w:val="22"/>
          <w:u w:val="single"/>
        </w:rPr>
        <w:t>Hoc</w:t>
      </w:r>
      <w:r>
        <w:rPr>
          <w:spacing w:val="40"/>
          <w:sz w:val="22"/>
        </w:rPr>
        <w:t> </w:t>
      </w:r>
      <w:r>
        <w:rPr>
          <w:sz w:val="22"/>
        </w:rPr>
        <w:t>Committee</w:t>
      </w:r>
      <w:r>
        <w:rPr>
          <w:spacing w:val="40"/>
          <w:sz w:val="22"/>
        </w:rPr>
        <w:t> </w:t>
      </w:r>
      <w:r>
        <w:rPr>
          <w:sz w:val="22"/>
        </w:rPr>
        <w:t>adopted during</w:t>
      </w:r>
      <w:r>
        <w:rPr>
          <w:spacing w:val="23"/>
          <w:sz w:val="22"/>
        </w:rPr>
        <w:t> </w:t>
      </w:r>
      <w:r>
        <w:rPr>
          <w:sz w:val="22"/>
        </w:rPr>
        <w:t>its</w:t>
      </w:r>
      <w:r>
        <w:rPr>
          <w:spacing w:val="23"/>
          <w:sz w:val="22"/>
        </w:rPr>
        <w:t> </w:t>
      </w:r>
      <w:r>
        <w:rPr>
          <w:sz w:val="22"/>
        </w:rPr>
        <w:t>Sixth</w:t>
      </w:r>
      <w:r>
        <w:rPr>
          <w:spacing w:val="23"/>
          <w:sz w:val="22"/>
        </w:rPr>
        <w:t> </w:t>
      </w:r>
      <w:r>
        <w:rPr>
          <w:sz w:val="22"/>
        </w:rPr>
        <w:t>Ordinary</w:t>
      </w:r>
      <w:r>
        <w:rPr>
          <w:spacing w:val="23"/>
          <w:sz w:val="22"/>
        </w:rPr>
        <w:t> </w:t>
      </w:r>
      <w:r>
        <w:rPr>
          <w:sz w:val="22"/>
        </w:rPr>
        <w:t>Session</w:t>
      </w:r>
      <w:r>
        <w:rPr>
          <w:spacing w:val="23"/>
          <w:sz w:val="22"/>
        </w:rPr>
        <w:t> </w:t>
      </w:r>
      <w:r>
        <w:rPr>
          <w:sz w:val="22"/>
        </w:rPr>
        <w:t>held</w:t>
      </w:r>
      <w:r>
        <w:rPr>
          <w:spacing w:val="24"/>
          <w:sz w:val="22"/>
        </w:rPr>
        <w:t> </w:t>
      </w:r>
      <w:r>
        <w:rPr>
          <w:sz w:val="22"/>
        </w:rPr>
        <w:t>in Tunis, Tunisia form 21 to 23 May 1979 on the said preliminary Draft Programme of Action;</w:t>
      </w:r>
    </w:p>
    <w:p>
      <w:pPr>
        <w:pStyle w:val="BodyText"/>
        <w:spacing w:before="7"/>
        <w:rPr>
          <w:sz w:val="33"/>
        </w:rPr>
      </w:pPr>
    </w:p>
    <w:p>
      <w:pPr>
        <w:pStyle w:val="ListParagraph"/>
        <w:numPr>
          <w:ilvl w:val="0"/>
          <w:numId w:val="1"/>
        </w:numPr>
        <w:tabs>
          <w:tab w:pos="1185" w:val="left" w:leader="none"/>
        </w:tabs>
        <w:spacing w:line="369" w:lineRule="auto" w:before="0" w:after="0"/>
        <w:ind w:left="1183" w:right="143" w:hanging="336"/>
        <w:jc w:val="both"/>
        <w:rPr>
          <w:sz w:val="22"/>
        </w:rPr>
      </w:pPr>
      <w:r>
        <w:rPr>
          <w:b/>
          <w:sz w:val="22"/>
        </w:rPr>
        <w:t>CALLS UPON </w:t>
      </w:r>
      <w:r>
        <w:rPr>
          <w:sz w:val="22"/>
        </w:rPr>
        <w:t>the Administrative Secretary-General to take as soon as possible, the</w:t>
      </w:r>
      <w:r>
        <w:rPr>
          <w:spacing w:val="40"/>
          <w:sz w:val="22"/>
        </w:rPr>
        <w:t> </w:t>
      </w:r>
      <w:r>
        <w:rPr>
          <w:sz w:val="22"/>
        </w:rPr>
        <w:t>necessary</w:t>
      </w:r>
      <w:r>
        <w:rPr>
          <w:spacing w:val="40"/>
          <w:sz w:val="22"/>
        </w:rPr>
        <w:t> </w:t>
      </w:r>
      <w:r>
        <w:rPr>
          <w:sz w:val="22"/>
        </w:rPr>
        <w:t>measures</w:t>
      </w:r>
      <w:r>
        <w:rPr>
          <w:spacing w:val="40"/>
          <w:sz w:val="22"/>
        </w:rPr>
        <w:t> </w:t>
      </w:r>
      <w:r>
        <w:rPr>
          <w:sz w:val="22"/>
        </w:rPr>
        <w:t>with</w:t>
      </w:r>
      <w:r>
        <w:rPr>
          <w:spacing w:val="40"/>
          <w:sz w:val="22"/>
        </w:rPr>
        <w:t> </w:t>
      </w:r>
      <w:r>
        <w:rPr>
          <w:sz w:val="22"/>
        </w:rPr>
        <w:t>a</w:t>
      </w:r>
      <w:r>
        <w:rPr>
          <w:spacing w:val="40"/>
          <w:sz w:val="22"/>
        </w:rPr>
        <w:t> </w:t>
      </w:r>
      <w:r>
        <w:rPr>
          <w:sz w:val="22"/>
        </w:rPr>
        <w:t>view</w:t>
      </w:r>
      <w:r>
        <w:rPr>
          <w:spacing w:val="40"/>
          <w:sz w:val="22"/>
        </w:rPr>
        <w:t> </w:t>
      </w:r>
      <w:r>
        <w:rPr>
          <w:sz w:val="22"/>
        </w:rPr>
        <w:t>to</w:t>
      </w:r>
      <w:r>
        <w:rPr>
          <w:spacing w:val="40"/>
          <w:sz w:val="22"/>
        </w:rPr>
        <w:t> </w:t>
      </w:r>
      <w:r>
        <w:rPr>
          <w:sz w:val="22"/>
        </w:rPr>
        <w:t>rapidly</w:t>
      </w:r>
      <w:r>
        <w:rPr>
          <w:spacing w:val="40"/>
          <w:sz w:val="22"/>
        </w:rPr>
        <w:t> </w:t>
      </w:r>
      <w:r>
        <w:rPr>
          <w:sz w:val="22"/>
        </w:rPr>
        <w:t>implementing</w:t>
      </w:r>
      <w:r>
        <w:rPr>
          <w:spacing w:val="40"/>
          <w:sz w:val="22"/>
        </w:rPr>
        <w:t> </w:t>
      </w:r>
      <w:r>
        <w:rPr>
          <w:sz w:val="22"/>
        </w:rPr>
        <w:t>the</w:t>
      </w:r>
      <w:r>
        <w:rPr>
          <w:spacing w:val="40"/>
          <w:sz w:val="22"/>
        </w:rPr>
        <w:t> </w:t>
      </w:r>
      <w:r>
        <w:rPr>
          <w:sz w:val="22"/>
        </w:rPr>
        <w:t>medium</w:t>
      </w:r>
      <w:r>
        <w:rPr>
          <w:spacing w:val="40"/>
          <w:sz w:val="22"/>
        </w:rPr>
        <w:t> </w:t>
      </w:r>
      <w:r>
        <w:rPr>
          <w:sz w:val="22"/>
        </w:rPr>
        <w:t>and long-term preliminary programme of action drawn up for the control of drought, desertification and other natural disaster in Africa in accordance with the recommendations made by the</w:t>
      </w:r>
      <w:r>
        <w:rPr>
          <w:spacing w:val="41"/>
          <w:sz w:val="22"/>
        </w:rPr>
        <w:t> </w:t>
      </w:r>
      <w:r>
        <w:rPr>
          <w:sz w:val="22"/>
          <w:u w:val="single"/>
        </w:rPr>
        <w:t>Ad Hoc</w:t>
      </w:r>
      <w:r>
        <w:rPr>
          <w:sz w:val="22"/>
        </w:rPr>
        <w:t> Committee at its Extra-ordinary Session</w:t>
      </w:r>
      <w:r>
        <w:rPr>
          <w:spacing w:val="40"/>
          <w:sz w:val="22"/>
        </w:rPr>
        <w:t> </w:t>
      </w:r>
      <w:r>
        <w:rPr>
          <w:sz w:val="22"/>
        </w:rPr>
        <w:t>held</w:t>
      </w:r>
      <w:r>
        <w:rPr>
          <w:spacing w:val="40"/>
          <w:sz w:val="22"/>
        </w:rPr>
        <w:t> </w:t>
      </w:r>
      <w:r>
        <w:rPr>
          <w:sz w:val="22"/>
        </w:rPr>
        <w:t>in</w:t>
      </w:r>
      <w:r>
        <w:rPr>
          <w:spacing w:val="40"/>
          <w:sz w:val="22"/>
        </w:rPr>
        <w:t> </w:t>
      </w:r>
      <w:r>
        <w:rPr>
          <w:sz w:val="22"/>
        </w:rPr>
        <w:t>Banjul,</w:t>
      </w:r>
      <w:r>
        <w:rPr>
          <w:spacing w:val="40"/>
          <w:sz w:val="22"/>
        </w:rPr>
        <w:t> </w:t>
      </w:r>
      <w:r>
        <w:rPr>
          <w:sz w:val="22"/>
        </w:rPr>
        <w:t>Cambia</w:t>
      </w:r>
      <w:r>
        <w:rPr>
          <w:spacing w:val="40"/>
          <w:sz w:val="22"/>
        </w:rPr>
        <w:t> </w:t>
      </w:r>
      <w:r>
        <w:rPr>
          <w:sz w:val="22"/>
        </w:rPr>
        <w:t>and</w:t>
      </w:r>
      <w:r>
        <w:rPr>
          <w:spacing w:val="40"/>
          <w:sz w:val="22"/>
        </w:rPr>
        <w:t> </w:t>
      </w:r>
      <w:r>
        <w:rPr>
          <w:sz w:val="22"/>
        </w:rPr>
        <w:t>by</w:t>
      </w:r>
      <w:r>
        <w:rPr>
          <w:spacing w:val="40"/>
          <w:sz w:val="22"/>
        </w:rPr>
        <w:t> </w:t>
      </w:r>
      <w:r>
        <w:rPr>
          <w:sz w:val="22"/>
        </w:rPr>
        <w:t>the</w:t>
      </w:r>
      <w:r>
        <w:rPr>
          <w:spacing w:val="40"/>
          <w:sz w:val="22"/>
        </w:rPr>
        <w:t> </w:t>
      </w:r>
      <w:r>
        <w:rPr>
          <w:sz w:val="22"/>
        </w:rPr>
        <w:t>Council of Minister at its Thirty-First and Thirty-Second</w:t>
      </w:r>
      <w:r>
        <w:rPr>
          <w:spacing w:val="40"/>
          <w:sz w:val="22"/>
        </w:rPr>
        <w:t> </w:t>
      </w:r>
      <w:r>
        <w:rPr>
          <w:sz w:val="22"/>
        </w:rPr>
        <w:t>Ordinary</w:t>
      </w:r>
      <w:r>
        <w:rPr>
          <w:spacing w:val="40"/>
          <w:sz w:val="22"/>
        </w:rPr>
        <w:t> </w:t>
      </w:r>
      <w:r>
        <w:rPr>
          <w:sz w:val="22"/>
        </w:rPr>
        <w:t>Sessions</w:t>
      </w:r>
      <w:r>
        <w:rPr>
          <w:spacing w:val="40"/>
          <w:sz w:val="22"/>
        </w:rPr>
        <w:t> </w:t>
      </w:r>
      <w:r>
        <w:rPr>
          <w:sz w:val="22"/>
        </w:rPr>
        <w:t>held</w:t>
      </w:r>
      <w:r>
        <w:rPr>
          <w:spacing w:val="40"/>
          <w:sz w:val="22"/>
        </w:rPr>
        <w:t> </w:t>
      </w:r>
      <w:r>
        <w:rPr>
          <w:sz w:val="22"/>
        </w:rPr>
        <w:t>in</w:t>
      </w:r>
      <w:r>
        <w:rPr>
          <w:spacing w:val="40"/>
          <w:sz w:val="22"/>
        </w:rPr>
        <w:t> </w:t>
      </w:r>
      <w:r>
        <w:rPr>
          <w:sz w:val="22"/>
        </w:rPr>
        <w:t>Khartoum,</w:t>
      </w:r>
      <w:r>
        <w:rPr>
          <w:spacing w:val="40"/>
          <w:sz w:val="22"/>
        </w:rPr>
        <w:t> </w:t>
      </w:r>
      <w:r>
        <w:rPr>
          <w:sz w:val="22"/>
        </w:rPr>
        <w:t>the</w:t>
      </w:r>
      <w:r>
        <w:rPr>
          <w:spacing w:val="40"/>
          <w:sz w:val="22"/>
        </w:rPr>
        <w:t> </w:t>
      </w:r>
      <w:r>
        <w:rPr>
          <w:sz w:val="22"/>
        </w:rPr>
        <w:t>Sudan</w:t>
      </w:r>
      <w:r>
        <w:rPr>
          <w:spacing w:val="40"/>
          <w:sz w:val="22"/>
        </w:rPr>
        <w:t> </w:t>
      </w:r>
      <w:r>
        <w:rPr>
          <w:sz w:val="22"/>
        </w:rPr>
        <w:t>and</w:t>
      </w:r>
      <w:r>
        <w:rPr>
          <w:spacing w:val="40"/>
          <w:sz w:val="22"/>
        </w:rPr>
        <w:t> </w:t>
      </w:r>
      <w:r>
        <w:rPr>
          <w:sz w:val="22"/>
        </w:rPr>
        <w:t>Nairobi, Kenya respectively;</w:t>
      </w:r>
    </w:p>
    <w:p>
      <w:pPr>
        <w:pStyle w:val="BodyText"/>
        <w:spacing w:before="8"/>
        <w:rPr>
          <w:sz w:val="33"/>
        </w:rPr>
      </w:pPr>
    </w:p>
    <w:p>
      <w:pPr>
        <w:pStyle w:val="ListParagraph"/>
        <w:numPr>
          <w:ilvl w:val="0"/>
          <w:numId w:val="1"/>
        </w:numPr>
        <w:tabs>
          <w:tab w:pos="1185" w:val="left" w:leader="none"/>
        </w:tabs>
        <w:spacing w:line="369" w:lineRule="auto" w:before="0" w:after="0"/>
        <w:ind w:left="1184" w:right="144" w:hanging="336"/>
        <w:jc w:val="both"/>
        <w:rPr>
          <w:sz w:val="22"/>
        </w:rPr>
      </w:pPr>
      <w:r>
        <w:rPr>
          <w:b/>
          <w:sz w:val="22"/>
        </w:rPr>
        <w:t>DECIDES </w:t>
      </w:r>
      <w:r>
        <w:rPr>
          <w:sz w:val="22"/>
        </w:rPr>
        <w:t>that the present </w:t>
      </w:r>
      <w:r>
        <w:rPr>
          <w:sz w:val="22"/>
          <w:u w:val="single"/>
        </w:rPr>
        <w:t>Ad Hoc</w:t>
      </w:r>
      <w:r>
        <w:rPr>
          <w:sz w:val="22"/>
        </w:rPr>
        <w:t> Committee should become a Standing Committee for</w:t>
      </w:r>
      <w:r>
        <w:rPr>
          <w:spacing w:val="15"/>
          <w:sz w:val="22"/>
        </w:rPr>
        <w:t> </w:t>
      </w:r>
      <w:r>
        <w:rPr>
          <w:sz w:val="22"/>
        </w:rPr>
        <w:t>Control of Drought and</w:t>
      </w:r>
      <w:r>
        <w:rPr>
          <w:spacing w:val="15"/>
          <w:sz w:val="22"/>
        </w:rPr>
        <w:t> </w:t>
      </w:r>
      <w:r>
        <w:rPr>
          <w:sz w:val="22"/>
        </w:rPr>
        <w:t>other</w:t>
      </w:r>
      <w:r>
        <w:rPr>
          <w:spacing w:val="15"/>
          <w:sz w:val="22"/>
        </w:rPr>
        <w:t> </w:t>
      </w:r>
      <w:r>
        <w:rPr>
          <w:sz w:val="22"/>
        </w:rPr>
        <w:t>Natural Disasters that can function as</w:t>
      </w:r>
      <w:r>
        <w:rPr>
          <w:spacing w:val="80"/>
          <w:sz w:val="22"/>
        </w:rPr>
        <w:t> </w:t>
      </w:r>
      <w:r>
        <w:rPr>
          <w:sz w:val="22"/>
        </w:rPr>
        <w:t>a Committee of Experts whenever the need arises.</w:t>
      </w:r>
      <w:r>
        <w:rPr>
          <w:spacing w:val="80"/>
          <w:sz w:val="22"/>
        </w:rPr>
        <w:t> </w:t>
      </w:r>
      <w:r>
        <w:rPr>
          <w:sz w:val="22"/>
        </w:rPr>
        <w:t>The Committee of experts will, in collaboration with sub-regional, regional and international institutions appraise</w:t>
      </w:r>
      <w:r>
        <w:rPr>
          <w:spacing w:val="40"/>
          <w:sz w:val="22"/>
        </w:rPr>
        <w:t> </w:t>
      </w:r>
      <w:r>
        <w:rPr>
          <w:sz w:val="22"/>
        </w:rPr>
        <w:t>the financial implication of the Draft Programme of Action;</w:t>
      </w:r>
    </w:p>
    <w:p>
      <w:pPr>
        <w:pStyle w:val="BodyText"/>
        <w:spacing w:before="5"/>
        <w:rPr>
          <w:sz w:val="33"/>
        </w:rPr>
      </w:pPr>
    </w:p>
    <w:p>
      <w:pPr>
        <w:pStyle w:val="ListParagraph"/>
        <w:numPr>
          <w:ilvl w:val="0"/>
          <w:numId w:val="1"/>
        </w:numPr>
        <w:tabs>
          <w:tab w:pos="1185" w:val="left" w:leader="none"/>
        </w:tabs>
        <w:spacing w:line="369" w:lineRule="auto" w:before="1" w:after="0"/>
        <w:ind w:left="1184" w:right="143" w:hanging="336"/>
        <w:jc w:val="both"/>
        <w:rPr>
          <w:sz w:val="22"/>
        </w:rPr>
      </w:pPr>
      <w:r>
        <w:rPr>
          <w:b/>
          <w:sz w:val="22"/>
        </w:rPr>
        <w:t>URGES </w:t>
      </w:r>
      <w:r>
        <w:rPr>
          <w:sz w:val="22"/>
        </w:rPr>
        <w:t>the specialized financial and economic institutions of Afro-Arab Cooperation to give priority to the implementation of the projects in Preliminary Programme of Action for the control of Drought, desertification and other natural disaster in Africa;</w:t>
      </w:r>
    </w:p>
    <w:p>
      <w:pPr>
        <w:pStyle w:val="BodyText"/>
        <w:spacing w:before="10"/>
        <w:rPr>
          <w:sz w:val="33"/>
        </w:rPr>
      </w:pPr>
    </w:p>
    <w:p>
      <w:pPr>
        <w:pStyle w:val="ListParagraph"/>
        <w:numPr>
          <w:ilvl w:val="0"/>
          <w:numId w:val="1"/>
        </w:numPr>
        <w:tabs>
          <w:tab w:pos="1185" w:val="left" w:leader="none"/>
        </w:tabs>
        <w:spacing w:line="369" w:lineRule="auto" w:before="1" w:after="0"/>
        <w:ind w:left="1184" w:right="154" w:hanging="336"/>
        <w:jc w:val="both"/>
        <w:rPr>
          <w:sz w:val="22"/>
        </w:rPr>
      </w:pPr>
      <w:r>
        <w:rPr>
          <w:b/>
          <w:sz w:val="22"/>
        </w:rPr>
        <w:t>AUTHORISES </w:t>
      </w:r>
      <w:r>
        <w:rPr>
          <w:sz w:val="22"/>
        </w:rPr>
        <w:t>the OAU Secretary-General to inform and make the appropriate agencies</w:t>
      </w:r>
      <w:r>
        <w:rPr>
          <w:spacing w:val="40"/>
          <w:sz w:val="22"/>
        </w:rPr>
        <w:t> </w:t>
      </w:r>
      <w:r>
        <w:rPr>
          <w:sz w:val="22"/>
        </w:rPr>
        <w:t>of</w:t>
      </w:r>
      <w:r>
        <w:rPr>
          <w:spacing w:val="40"/>
          <w:sz w:val="22"/>
        </w:rPr>
        <w:t> </w:t>
      </w:r>
      <w:r>
        <w:rPr>
          <w:sz w:val="22"/>
        </w:rPr>
        <w:t>the</w:t>
      </w:r>
      <w:r>
        <w:rPr>
          <w:spacing w:val="40"/>
          <w:sz w:val="22"/>
        </w:rPr>
        <w:t> </w:t>
      </w:r>
      <w:r>
        <w:rPr>
          <w:sz w:val="22"/>
        </w:rPr>
        <w:t>Afro-Arab</w:t>
      </w:r>
      <w:r>
        <w:rPr>
          <w:spacing w:val="40"/>
          <w:sz w:val="22"/>
        </w:rPr>
        <w:t> </w:t>
      </w:r>
      <w:r>
        <w:rPr>
          <w:sz w:val="22"/>
        </w:rPr>
        <w:t>Cooperation</w:t>
      </w:r>
      <w:r>
        <w:rPr>
          <w:spacing w:val="40"/>
          <w:sz w:val="22"/>
        </w:rPr>
        <w:t> </w:t>
      </w:r>
      <w:r>
        <w:rPr>
          <w:sz w:val="22"/>
        </w:rPr>
        <w:t>and</w:t>
      </w:r>
      <w:r>
        <w:rPr>
          <w:spacing w:val="40"/>
          <w:sz w:val="22"/>
        </w:rPr>
        <w:t> </w:t>
      </w:r>
      <w:r>
        <w:rPr>
          <w:sz w:val="22"/>
        </w:rPr>
        <w:t>the</w:t>
      </w:r>
      <w:r>
        <w:rPr>
          <w:spacing w:val="40"/>
          <w:sz w:val="22"/>
        </w:rPr>
        <w:t> </w:t>
      </w:r>
      <w:r>
        <w:rPr>
          <w:sz w:val="22"/>
        </w:rPr>
        <w:t>funding</w:t>
      </w:r>
      <w:r>
        <w:rPr>
          <w:spacing w:val="40"/>
          <w:sz w:val="22"/>
        </w:rPr>
        <w:t> </w:t>
      </w:r>
      <w:r>
        <w:rPr>
          <w:sz w:val="22"/>
        </w:rPr>
        <w:t>institutes</w:t>
      </w:r>
      <w:r>
        <w:rPr>
          <w:spacing w:val="40"/>
          <w:sz w:val="22"/>
        </w:rPr>
        <w:t> </w:t>
      </w:r>
      <w:r>
        <w:rPr>
          <w:sz w:val="22"/>
        </w:rPr>
        <w:t>and Governments especially of ail exporting Arab Countries aware of the programme with a view to calling up the necessary</w:t>
      </w:r>
      <w:r>
        <w:rPr>
          <w:spacing w:val="37"/>
          <w:sz w:val="22"/>
        </w:rPr>
        <w:t> </w:t>
      </w:r>
      <w:r>
        <w:rPr>
          <w:sz w:val="22"/>
        </w:rPr>
        <w:t>financial resources for the implementation</w:t>
      </w:r>
      <w:r>
        <w:rPr>
          <w:spacing w:val="40"/>
          <w:sz w:val="22"/>
        </w:rPr>
        <w:t> </w:t>
      </w:r>
      <w:r>
        <w:rPr>
          <w:sz w:val="22"/>
        </w:rPr>
        <w:t>of the above mentioned Preliminary Programme of Action;</w:t>
      </w:r>
    </w:p>
    <w:p>
      <w:pPr>
        <w:pStyle w:val="BodyText"/>
        <w:spacing w:before="5"/>
        <w:rPr>
          <w:sz w:val="33"/>
        </w:rPr>
      </w:pPr>
    </w:p>
    <w:p>
      <w:pPr>
        <w:pStyle w:val="ListParagraph"/>
        <w:numPr>
          <w:ilvl w:val="0"/>
          <w:numId w:val="1"/>
        </w:numPr>
        <w:tabs>
          <w:tab w:pos="1185" w:val="left" w:leader="none"/>
        </w:tabs>
        <w:spacing w:line="369" w:lineRule="auto" w:before="0" w:after="0"/>
        <w:ind w:left="1183" w:right="143" w:hanging="336"/>
        <w:jc w:val="both"/>
        <w:rPr>
          <w:sz w:val="22"/>
        </w:rPr>
      </w:pPr>
      <w:r>
        <w:rPr>
          <w:b/>
          <w:sz w:val="22"/>
        </w:rPr>
        <w:t>REQUESTS </w:t>
      </w:r>
      <w:r>
        <w:rPr>
          <w:sz w:val="22"/>
        </w:rPr>
        <w:t>the appropriate United Nations Agencies, namely FAO, UNEP, UNESCO,</w:t>
      </w:r>
      <w:r>
        <w:rPr>
          <w:spacing w:val="40"/>
          <w:sz w:val="22"/>
        </w:rPr>
        <w:t> </w:t>
      </w:r>
      <w:r>
        <w:rPr>
          <w:sz w:val="22"/>
        </w:rPr>
        <w:t>ILO</w:t>
      </w:r>
      <w:r>
        <w:rPr>
          <w:spacing w:val="40"/>
          <w:sz w:val="22"/>
        </w:rPr>
        <w:t> </w:t>
      </w:r>
      <w:r>
        <w:rPr>
          <w:sz w:val="22"/>
        </w:rPr>
        <w:t>and</w:t>
      </w:r>
      <w:r>
        <w:rPr>
          <w:spacing w:val="40"/>
          <w:sz w:val="22"/>
        </w:rPr>
        <w:t> </w:t>
      </w:r>
      <w:r>
        <w:rPr>
          <w:sz w:val="22"/>
        </w:rPr>
        <w:t>UNIDO,</w:t>
      </w:r>
      <w:r>
        <w:rPr>
          <w:spacing w:val="40"/>
          <w:sz w:val="22"/>
        </w:rPr>
        <w:t> </w:t>
      </w:r>
      <w:r>
        <w:rPr>
          <w:sz w:val="22"/>
        </w:rPr>
        <w:t>the</w:t>
      </w:r>
      <w:r>
        <w:rPr>
          <w:spacing w:val="40"/>
          <w:sz w:val="22"/>
        </w:rPr>
        <w:t> </w:t>
      </w:r>
      <w:r>
        <w:rPr>
          <w:sz w:val="22"/>
        </w:rPr>
        <w:t>most</w:t>
      </w:r>
      <w:r>
        <w:rPr>
          <w:spacing w:val="40"/>
          <w:sz w:val="22"/>
        </w:rPr>
        <w:t> </w:t>
      </w:r>
      <w:r>
        <w:rPr>
          <w:sz w:val="22"/>
        </w:rPr>
        <w:t>concerned</w:t>
      </w:r>
      <w:r>
        <w:rPr>
          <w:spacing w:val="40"/>
          <w:sz w:val="22"/>
        </w:rPr>
        <w:t> </w:t>
      </w:r>
      <w:r>
        <w:rPr>
          <w:sz w:val="22"/>
        </w:rPr>
        <w:t>inter-governmental organizations (CILSS as well as all other inter-governmental funding institutions working</w:t>
      </w:r>
      <w:r>
        <w:rPr>
          <w:spacing w:val="40"/>
          <w:sz w:val="22"/>
        </w:rPr>
        <w:t> </w:t>
      </w:r>
      <w:r>
        <w:rPr>
          <w:sz w:val="22"/>
        </w:rPr>
        <w:t>in</w:t>
      </w:r>
      <w:r>
        <w:rPr>
          <w:spacing w:val="40"/>
          <w:sz w:val="22"/>
        </w:rPr>
        <w:t> </w:t>
      </w:r>
      <w:r>
        <w:rPr>
          <w:sz w:val="22"/>
        </w:rPr>
        <w:t>Africa</w:t>
      </w:r>
      <w:r>
        <w:rPr>
          <w:spacing w:val="40"/>
          <w:sz w:val="22"/>
        </w:rPr>
        <w:t> </w:t>
      </w:r>
      <w:r>
        <w:rPr>
          <w:sz w:val="22"/>
        </w:rPr>
        <w:t>namely</w:t>
      </w:r>
      <w:r>
        <w:rPr>
          <w:spacing w:val="40"/>
          <w:sz w:val="22"/>
        </w:rPr>
        <w:t> </w:t>
      </w:r>
      <w:r>
        <w:rPr>
          <w:sz w:val="22"/>
        </w:rPr>
        <w:t>ABD,</w:t>
      </w:r>
      <w:r>
        <w:rPr>
          <w:spacing w:val="40"/>
          <w:sz w:val="22"/>
        </w:rPr>
        <w:t> </w:t>
      </w:r>
      <w:r>
        <w:rPr>
          <w:sz w:val="22"/>
        </w:rPr>
        <w:t>BADEA,</w:t>
      </w:r>
      <w:r>
        <w:rPr>
          <w:spacing w:val="40"/>
          <w:sz w:val="22"/>
        </w:rPr>
        <w:t> </w:t>
      </w:r>
      <w:r>
        <w:rPr>
          <w:sz w:val="22"/>
        </w:rPr>
        <w:t>IFAD</w:t>
      </w:r>
      <w:r>
        <w:rPr>
          <w:spacing w:val="40"/>
          <w:sz w:val="22"/>
        </w:rPr>
        <w:t> </w:t>
      </w:r>
      <w:r>
        <w:rPr>
          <w:sz w:val="22"/>
        </w:rPr>
        <w:t>to</w:t>
      </w:r>
      <w:r>
        <w:rPr>
          <w:spacing w:val="40"/>
          <w:sz w:val="22"/>
        </w:rPr>
        <w:t> </w:t>
      </w:r>
      <w:r>
        <w:rPr>
          <w:sz w:val="22"/>
        </w:rPr>
        <w:t>cooperate</w:t>
      </w:r>
      <w:r>
        <w:rPr>
          <w:spacing w:val="40"/>
          <w:sz w:val="22"/>
        </w:rPr>
        <w:t> </w:t>
      </w:r>
      <w:r>
        <w:rPr>
          <w:sz w:val="22"/>
        </w:rPr>
        <w:t>closely</w:t>
      </w:r>
      <w:r>
        <w:rPr>
          <w:spacing w:val="40"/>
          <w:sz w:val="22"/>
        </w:rPr>
        <w:t> </w:t>
      </w:r>
      <w:r>
        <w:rPr>
          <w:sz w:val="22"/>
        </w:rPr>
        <w:t>and</w:t>
      </w:r>
      <w:r>
        <w:rPr>
          <w:spacing w:val="40"/>
          <w:sz w:val="22"/>
        </w:rPr>
        <w:t> </w:t>
      </w:r>
      <w:r>
        <w:rPr>
          <w:sz w:val="22"/>
        </w:rPr>
        <w:t>fully</w:t>
      </w:r>
    </w:p>
    <w:p>
      <w:pPr>
        <w:spacing w:after="0" w:line="369" w:lineRule="auto"/>
        <w:jc w:val="both"/>
        <w:rPr>
          <w:sz w:val="22"/>
        </w:rPr>
        <w:sectPr>
          <w:pgSz w:w="12240" w:h="15840"/>
          <w:pgMar w:header="701" w:footer="0" w:top="940" w:bottom="280" w:left="1720" w:right="1720"/>
        </w:sectPr>
      </w:pPr>
    </w:p>
    <w:p>
      <w:pPr>
        <w:pStyle w:val="BodyText"/>
        <w:spacing w:line="374" w:lineRule="auto" w:before="5"/>
        <w:ind w:left="1184" w:hanging="1"/>
      </w:pPr>
      <w:r>
        <w:rPr/>
        <w:t>with</w:t>
      </w:r>
      <w:r>
        <w:rPr>
          <w:spacing w:val="40"/>
        </w:rPr>
        <w:t> </w:t>
      </w:r>
      <w:r>
        <w:rPr/>
        <w:t>the</w:t>
      </w:r>
      <w:r>
        <w:rPr>
          <w:spacing w:val="40"/>
        </w:rPr>
        <w:t> </w:t>
      </w:r>
      <w:r>
        <w:rPr/>
        <w:t>OAU</w:t>
      </w:r>
      <w:r>
        <w:rPr>
          <w:spacing w:val="40"/>
        </w:rPr>
        <w:t> </w:t>
      </w:r>
      <w:r>
        <w:rPr/>
        <w:t>General</w:t>
      </w:r>
      <w:r>
        <w:rPr>
          <w:spacing w:val="40"/>
        </w:rPr>
        <w:t> </w:t>
      </w:r>
      <w:r>
        <w:rPr/>
        <w:t>Secretariat</w:t>
      </w:r>
      <w:r>
        <w:rPr>
          <w:spacing w:val="40"/>
        </w:rPr>
        <w:t> </w:t>
      </w:r>
      <w:r>
        <w:rPr/>
        <w:t>for</w:t>
      </w:r>
      <w:r>
        <w:rPr>
          <w:spacing w:val="40"/>
        </w:rPr>
        <w:t> </w:t>
      </w:r>
      <w:r>
        <w:rPr/>
        <w:t>the</w:t>
      </w:r>
      <w:r>
        <w:rPr>
          <w:spacing w:val="40"/>
        </w:rPr>
        <w:t> </w:t>
      </w:r>
      <w:r>
        <w:rPr/>
        <w:t>implementation</w:t>
      </w:r>
      <w:r>
        <w:rPr>
          <w:spacing w:val="40"/>
        </w:rPr>
        <w:t> </w:t>
      </w:r>
      <w:r>
        <w:rPr/>
        <w:t>of</w:t>
      </w:r>
      <w:r>
        <w:rPr>
          <w:spacing w:val="40"/>
        </w:rPr>
        <w:t> </w:t>
      </w:r>
      <w:r>
        <w:rPr/>
        <w:t>the</w:t>
      </w:r>
      <w:r>
        <w:rPr>
          <w:spacing w:val="40"/>
        </w:rPr>
        <w:t> </w:t>
      </w:r>
      <w:r>
        <w:rPr/>
        <w:t>preliminaries programme of</w:t>
      </w:r>
      <w:r>
        <w:rPr>
          <w:spacing w:val="40"/>
        </w:rPr>
        <w:t> </w:t>
      </w:r>
      <w:r>
        <w:rPr/>
        <w:t>Action;</w:t>
      </w:r>
    </w:p>
    <w:p>
      <w:pPr>
        <w:pStyle w:val="BodyText"/>
        <w:spacing w:before="2"/>
        <w:rPr>
          <w:sz w:val="33"/>
        </w:rPr>
      </w:pPr>
    </w:p>
    <w:p>
      <w:pPr>
        <w:pStyle w:val="ListParagraph"/>
        <w:numPr>
          <w:ilvl w:val="0"/>
          <w:numId w:val="1"/>
        </w:numPr>
        <w:tabs>
          <w:tab w:pos="1185" w:val="left" w:leader="none"/>
        </w:tabs>
        <w:spacing w:line="369" w:lineRule="auto" w:before="0" w:after="0"/>
        <w:ind w:left="1183" w:right="154" w:hanging="336"/>
        <w:jc w:val="both"/>
        <w:rPr>
          <w:sz w:val="22"/>
        </w:rPr>
      </w:pPr>
      <w:r>
        <w:rPr>
          <w:b/>
          <w:sz w:val="22"/>
        </w:rPr>
        <w:t>TAKES NOTE</w:t>
      </w:r>
      <w:r>
        <w:rPr>
          <w:b/>
          <w:spacing w:val="32"/>
          <w:sz w:val="22"/>
        </w:rPr>
        <w:t> </w:t>
      </w:r>
      <w:r>
        <w:rPr>
          <w:sz w:val="22"/>
        </w:rPr>
        <w:t>with satisfaction of the efforts put in by the Director General and the steps taken fully by him to coordinate the assistance of the International Community for the control of migratory locusts in the Horn of Africa,</w:t>
      </w:r>
    </w:p>
    <w:p>
      <w:pPr>
        <w:pStyle w:val="BodyText"/>
        <w:spacing w:before="7"/>
        <w:rPr>
          <w:sz w:val="33"/>
        </w:rPr>
      </w:pPr>
    </w:p>
    <w:p>
      <w:pPr>
        <w:pStyle w:val="ListParagraph"/>
        <w:numPr>
          <w:ilvl w:val="0"/>
          <w:numId w:val="1"/>
        </w:numPr>
        <w:tabs>
          <w:tab w:pos="1185" w:val="left" w:leader="none"/>
        </w:tabs>
        <w:spacing w:line="369" w:lineRule="auto" w:before="0" w:after="0"/>
        <w:ind w:left="1184" w:right="149" w:hanging="336"/>
        <w:jc w:val="both"/>
        <w:rPr>
          <w:sz w:val="22"/>
        </w:rPr>
      </w:pPr>
      <w:r>
        <w:rPr>
          <w:b/>
          <w:sz w:val="22"/>
        </w:rPr>
        <w:t>URGES </w:t>
      </w:r>
      <w:r>
        <w:rPr>
          <w:sz w:val="22"/>
        </w:rPr>
        <w:t>the FAO Director General to continue to provide short, medium and long term assistance to regional organizations and national agencies for control of</w:t>
      </w:r>
      <w:r>
        <w:rPr>
          <w:spacing w:val="80"/>
          <w:w w:val="150"/>
          <w:sz w:val="22"/>
        </w:rPr>
        <w:t> </w:t>
      </w:r>
      <w:r>
        <w:rPr>
          <w:sz w:val="22"/>
        </w:rPr>
        <w:t>locusts in Africa;</w:t>
      </w:r>
    </w:p>
    <w:p>
      <w:pPr>
        <w:pStyle w:val="BodyText"/>
        <w:spacing w:before="7"/>
        <w:rPr>
          <w:sz w:val="33"/>
        </w:rPr>
      </w:pPr>
    </w:p>
    <w:p>
      <w:pPr>
        <w:pStyle w:val="ListParagraph"/>
        <w:numPr>
          <w:ilvl w:val="0"/>
          <w:numId w:val="1"/>
        </w:numPr>
        <w:tabs>
          <w:tab w:pos="1185" w:val="left" w:leader="none"/>
        </w:tabs>
        <w:spacing w:line="369" w:lineRule="auto" w:before="0" w:after="0"/>
        <w:ind w:left="1183" w:right="153" w:hanging="336"/>
        <w:jc w:val="both"/>
        <w:rPr>
          <w:sz w:val="22"/>
        </w:rPr>
      </w:pPr>
      <w:r>
        <w:rPr>
          <w:b/>
          <w:sz w:val="22"/>
        </w:rPr>
        <w:t>REQUESTS </w:t>
      </w:r>
      <w:r>
        <w:rPr>
          <w:sz w:val="22"/>
        </w:rPr>
        <w:t>the Secretary-General to establish immediate contacts with the FAO Director General to update the cooperation agreement existing between the OAU and FAO within the framework on the implementation of the Preliminary Programme of Action;</w:t>
      </w:r>
    </w:p>
    <w:p>
      <w:pPr>
        <w:pStyle w:val="BodyText"/>
        <w:spacing w:before="6"/>
        <w:rPr>
          <w:sz w:val="33"/>
        </w:rPr>
      </w:pPr>
    </w:p>
    <w:p>
      <w:pPr>
        <w:pStyle w:val="ListParagraph"/>
        <w:numPr>
          <w:ilvl w:val="0"/>
          <w:numId w:val="1"/>
        </w:numPr>
        <w:tabs>
          <w:tab w:pos="1185" w:val="left" w:leader="none"/>
        </w:tabs>
        <w:spacing w:line="372" w:lineRule="auto" w:before="0" w:after="0"/>
        <w:ind w:left="1183" w:right="141" w:hanging="336"/>
        <w:jc w:val="both"/>
        <w:rPr>
          <w:sz w:val="22"/>
        </w:rPr>
      </w:pPr>
      <w:r>
        <w:rPr>
          <w:b/>
          <w:sz w:val="22"/>
        </w:rPr>
        <w:t>COMMENDS</w:t>
      </w:r>
      <w:r>
        <w:rPr>
          <w:b/>
          <w:spacing w:val="40"/>
          <w:sz w:val="22"/>
        </w:rPr>
        <w:t> </w:t>
      </w:r>
      <w:r>
        <w:rPr>
          <w:sz w:val="22"/>
        </w:rPr>
        <w:t>the decision of the Seventh Session of the UNEP Governing</w:t>
      </w:r>
      <w:r>
        <w:rPr>
          <w:spacing w:val="40"/>
          <w:sz w:val="22"/>
        </w:rPr>
        <w:t> </w:t>
      </w:r>
      <w:r>
        <w:rPr>
          <w:sz w:val="22"/>
        </w:rPr>
        <w:t>Council to give all assistance to the implementation of the project to draw a hydrogeological map for Africa;</w:t>
      </w:r>
    </w:p>
    <w:p>
      <w:pPr>
        <w:pStyle w:val="BodyText"/>
        <w:spacing w:before="4"/>
        <w:rPr>
          <w:sz w:val="33"/>
        </w:rPr>
      </w:pPr>
    </w:p>
    <w:p>
      <w:pPr>
        <w:pStyle w:val="ListParagraph"/>
        <w:numPr>
          <w:ilvl w:val="0"/>
          <w:numId w:val="1"/>
        </w:numPr>
        <w:tabs>
          <w:tab w:pos="1185" w:val="left" w:leader="none"/>
        </w:tabs>
        <w:spacing w:line="369" w:lineRule="auto" w:before="0" w:after="0"/>
        <w:ind w:left="1183" w:right="158" w:hanging="336"/>
        <w:jc w:val="both"/>
        <w:rPr>
          <w:sz w:val="22"/>
        </w:rPr>
      </w:pPr>
      <w:r>
        <w:rPr>
          <w:b/>
          <w:sz w:val="22"/>
        </w:rPr>
        <w:t>URGENTLY APPEALS </w:t>
      </w:r>
      <w:r>
        <w:rPr>
          <w:sz w:val="22"/>
        </w:rPr>
        <w:t>to all Member States which have not yet done so to pay their contributions amounting to 1/15 of the contribution of each Member State to the OAU regular budget as well as their arrears as early as possible.</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8.679993pt;margin-top:34.068241pt;width:140.6pt;height:14.5pt;mso-position-horizontal-relative:page;mso-position-vertical-relative:page;z-index:-15768576" type="#_x0000_t202" id="docshape1" filled="false" stroked="false">
          <v:textbox inset="0,0,0,0">
            <w:txbxContent>
              <w:p>
                <w:pPr>
                  <w:pStyle w:val="BodyText"/>
                  <w:spacing w:before="15"/>
                  <w:ind w:left="20"/>
                </w:pPr>
                <w:r>
                  <w:rPr/>
                  <w:t>CM/Res.</w:t>
                </w:r>
                <w:r>
                  <w:rPr>
                    <w:spacing w:val="13"/>
                  </w:rPr>
                  <w:t> </w:t>
                </w:r>
                <w:r>
                  <w:rPr/>
                  <w:t>743</w:t>
                </w:r>
                <w:r>
                  <w:rPr>
                    <w:spacing w:val="13"/>
                  </w:rPr>
                  <w:t> </w:t>
                </w:r>
                <w:r>
                  <w:rPr/>
                  <w:t>(XXXIII)</w:t>
                </w:r>
                <w:r>
                  <w:rPr>
                    <w:spacing w:val="13"/>
                  </w:rPr>
                  <w:t> </w:t>
                </w:r>
                <w:r>
                  <w:rPr/>
                  <w:t>Rev.</w:t>
                </w:r>
                <w:r>
                  <w:rPr>
                    <w:spacing w:val="13"/>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905"/>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4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2023-06-07T09:14:57Z</dcterms:created>
  <dcterms:modified xsi:type="dcterms:W3CDTF">2023-06-07T09:14:57Z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