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INTEGRATED PROGRAMME FOR</w:t>
      </w:r>
      <w:r>
        <w:rPr>
          <w:u w:val="none"/>
        </w:rPr>
        <w:t> </w:t>
      </w:r>
      <w:r>
        <w:rPr>
          <w:spacing w:val="-2"/>
          <w:u w:val="single"/>
        </w:rPr>
        <w:t>COMMODITIES</w:t>
      </w:r>
    </w:p>
    <w:p>
      <w:pPr>
        <w:pStyle w:val="BodyText"/>
        <w:spacing w:line="364" w:lineRule="auto"/>
        <w:ind w:left="171" w:right="142" w:firstLine="676"/>
        <w:jc w:val="both"/>
      </w:pPr>
      <w:r>
        <w:rPr/>
        <w:t>The Council of Ministers of the organization of African Unity meeting in its Thirty- third Ordinary Session in Monrovia, Liberia, from 6 to 20 July 1979;</w:t>
      </w:r>
    </w:p>
    <w:p>
      <w:pPr>
        <w:pStyle w:val="BodyText"/>
        <w:rPr>
          <w:sz w:val="34"/>
        </w:rPr>
      </w:pPr>
    </w:p>
    <w:p>
      <w:pPr>
        <w:pStyle w:val="BodyText"/>
        <w:spacing w:line="369" w:lineRule="auto"/>
        <w:ind w:left="171" w:right="171" w:firstLine="676"/>
        <w:jc w:val="both"/>
      </w:pPr>
      <w:r>
        <w:rPr>
          <w:b/>
          <w:u w:val="single"/>
        </w:rPr>
        <w:t>Recalling</w:t>
      </w:r>
      <w:r>
        <w:rPr>
          <w:b/>
        </w:rPr>
        <w:t> </w:t>
      </w:r>
      <w:r>
        <w:rPr/>
        <w:t>Resolution CM/611 (XXX) adopted in Tripoli Libya, February, 1978, and Resolution CM/658 (XXXI) in Khartoum, Sudan, on the Common Fund under the Integrated Programme of commodities </w:t>
      </w:r>
      <w:r>
        <w:rPr>
          <w:w w:val="95"/>
        </w:rPr>
        <w:t>…</w:t>
      </w:r>
      <w:r>
        <w:rPr>
          <w:spacing w:val="40"/>
        </w:rPr>
        <w:t> </w:t>
      </w:r>
      <w:r>
        <w:rPr/>
        <w:t>..,</w:t>
      </w:r>
    </w:p>
    <w:p>
      <w:pPr>
        <w:pStyle w:val="BodyText"/>
        <w:spacing w:before="7"/>
        <w:rPr>
          <w:sz w:val="33"/>
        </w:rPr>
      </w:pPr>
    </w:p>
    <w:p>
      <w:pPr>
        <w:pStyle w:val="BodyText"/>
        <w:spacing w:line="369" w:lineRule="auto"/>
        <w:ind w:left="171" w:right="176" w:firstLine="676"/>
        <w:jc w:val="both"/>
      </w:pPr>
      <w:r>
        <w:rPr>
          <w:b/>
          <w:u w:val="single"/>
        </w:rPr>
        <w:t>Having discussed</w:t>
      </w:r>
      <w:r>
        <w:rPr>
          <w:b/>
        </w:rPr>
        <w:t> </w:t>
      </w:r>
      <w:r>
        <w:rPr/>
        <w:t>the OAU Secretary-General’s Report C CM/984 (XXXIII) on UNCTAD 7 and learned of its disappointing results;</w:t>
      </w:r>
    </w:p>
    <w:p>
      <w:pPr>
        <w:pStyle w:val="BodyText"/>
        <w:spacing w:before="1"/>
        <w:rPr>
          <w:sz w:val="34"/>
        </w:rPr>
      </w:pPr>
    </w:p>
    <w:p>
      <w:pPr>
        <w:pStyle w:val="BodyText"/>
        <w:spacing w:line="367" w:lineRule="auto"/>
        <w:ind w:left="171" w:right="158" w:firstLine="676"/>
        <w:jc w:val="both"/>
      </w:pPr>
      <w:r>
        <w:rPr>
          <w:b/>
          <w:u w:val="single"/>
        </w:rPr>
        <w:t>Stressing</w:t>
      </w:r>
      <w:r>
        <w:rPr>
          <w:b/>
          <w:spacing w:val="39"/>
        </w:rPr>
        <w:t> </w:t>
      </w:r>
      <w:r>
        <w:rPr/>
        <w:t>the</w:t>
      </w:r>
      <w:r>
        <w:rPr>
          <w:spacing w:val="31"/>
        </w:rPr>
        <w:t> </w:t>
      </w:r>
      <w:r>
        <w:rPr/>
        <w:t>urgent</w:t>
      </w:r>
      <w:r>
        <w:rPr>
          <w:spacing w:val="31"/>
        </w:rPr>
        <w:t> </w:t>
      </w:r>
      <w:r>
        <w:rPr/>
        <w:t>need</w:t>
      </w:r>
      <w:r>
        <w:rPr>
          <w:spacing w:val="32"/>
        </w:rPr>
        <w:t> </w:t>
      </w:r>
      <w:r>
        <w:rPr/>
        <w:t>for</w:t>
      </w:r>
      <w:r>
        <w:rPr>
          <w:spacing w:val="32"/>
        </w:rPr>
        <w:t> </w:t>
      </w:r>
      <w:r>
        <w:rPr/>
        <w:t>the</w:t>
      </w:r>
      <w:r>
        <w:rPr>
          <w:spacing w:val="31"/>
        </w:rPr>
        <w:t> </w:t>
      </w:r>
      <w:r>
        <w:rPr/>
        <w:t>developed</w:t>
      </w:r>
      <w:r>
        <w:rPr>
          <w:spacing w:val="32"/>
        </w:rPr>
        <w:t> </w:t>
      </w:r>
      <w:r>
        <w:rPr/>
        <w:t>countries</w:t>
      </w:r>
      <w:r>
        <w:rPr>
          <w:spacing w:val="31"/>
        </w:rPr>
        <w:t> </w:t>
      </w:r>
      <w:r>
        <w:rPr/>
        <w:t>to</w:t>
      </w:r>
      <w:r>
        <w:rPr>
          <w:spacing w:val="32"/>
        </w:rPr>
        <w:t> </w:t>
      </w:r>
      <w:r>
        <w:rPr/>
        <w:t>adopt</w:t>
      </w:r>
      <w:r>
        <w:rPr>
          <w:spacing w:val="31"/>
        </w:rPr>
        <w:t> </w:t>
      </w:r>
      <w:r>
        <w:rPr/>
        <w:t>a</w:t>
      </w:r>
      <w:r>
        <w:rPr>
          <w:spacing w:val="31"/>
        </w:rPr>
        <w:t> </w:t>
      </w:r>
      <w:r>
        <w:rPr/>
        <w:t>positive</w:t>
      </w:r>
      <w:r>
        <w:rPr>
          <w:spacing w:val="31"/>
        </w:rPr>
        <w:t> </w:t>
      </w:r>
      <w:r>
        <w:rPr/>
        <w:t>attitude</w:t>
      </w:r>
      <w:r>
        <w:rPr>
          <w:spacing w:val="31"/>
        </w:rPr>
        <w:t> </w:t>
      </w:r>
      <w:r>
        <w:rPr/>
        <w:t>in the international negotiations at the UNCTAD Conference and the Trade and Development </w:t>
      </w:r>
      <w:r>
        <w:rPr>
          <w:spacing w:val="-2"/>
        </w:rPr>
        <w:t>Board;</w:t>
      </w:r>
    </w:p>
    <w:p>
      <w:pPr>
        <w:pStyle w:val="BodyText"/>
        <w:spacing w:before="3"/>
        <w:rPr>
          <w:sz w:val="34"/>
        </w:rPr>
      </w:pPr>
    </w:p>
    <w:p>
      <w:pPr>
        <w:pStyle w:val="ListParagraph"/>
        <w:numPr>
          <w:ilvl w:val="0"/>
          <w:numId w:val="1"/>
        </w:numPr>
        <w:tabs>
          <w:tab w:pos="1185" w:val="left" w:leader="none"/>
        </w:tabs>
        <w:spacing w:line="369" w:lineRule="auto" w:before="0" w:after="0"/>
        <w:ind w:left="1184" w:right="156" w:hanging="336"/>
        <w:jc w:val="both"/>
        <w:rPr>
          <w:sz w:val="22"/>
        </w:rPr>
      </w:pPr>
      <w:r>
        <w:rPr>
          <w:b/>
          <w:sz w:val="22"/>
        </w:rPr>
        <w:t>URGES</w:t>
      </w:r>
      <w:r>
        <w:rPr>
          <w:b/>
          <w:spacing w:val="32"/>
          <w:sz w:val="22"/>
        </w:rPr>
        <w:t> </w:t>
      </w:r>
      <w:r>
        <w:rPr>
          <w:sz w:val="22"/>
        </w:rPr>
        <w:t>the</w:t>
      </w:r>
      <w:r>
        <w:rPr>
          <w:spacing w:val="22"/>
          <w:sz w:val="22"/>
        </w:rPr>
        <w:t> </w:t>
      </w:r>
      <w:r>
        <w:rPr>
          <w:sz w:val="22"/>
        </w:rPr>
        <w:t>Interim</w:t>
      </w:r>
      <w:r>
        <w:rPr>
          <w:spacing w:val="23"/>
          <w:sz w:val="22"/>
        </w:rPr>
        <w:t> </w:t>
      </w:r>
      <w:r>
        <w:rPr>
          <w:sz w:val="22"/>
        </w:rPr>
        <w:t>Committee</w:t>
      </w:r>
      <w:r>
        <w:rPr>
          <w:spacing w:val="22"/>
          <w:sz w:val="22"/>
        </w:rPr>
        <w:t> </w:t>
      </w:r>
      <w:r>
        <w:rPr>
          <w:sz w:val="22"/>
        </w:rPr>
        <w:t>of</w:t>
      </w:r>
      <w:r>
        <w:rPr>
          <w:spacing w:val="22"/>
          <w:sz w:val="22"/>
        </w:rPr>
        <w:t> </w:t>
      </w:r>
      <w:r>
        <w:rPr>
          <w:sz w:val="22"/>
        </w:rPr>
        <w:t>the</w:t>
      </w:r>
      <w:r>
        <w:rPr>
          <w:spacing w:val="22"/>
          <w:sz w:val="22"/>
        </w:rPr>
        <w:t> </w:t>
      </w:r>
      <w:r>
        <w:rPr>
          <w:sz w:val="22"/>
        </w:rPr>
        <w:t>United</w:t>
      </w:r>
      <w:r>
        <w:rPr>
          <w:spacing w:val="17"/>
          <w:sz w:val="22"/>
        </w:rPr>
        <w:t> </w:t>
      </w:r>
      <w:r>
        <w:rPr>
          <w:sz w:val="22"/>
        </w:rPr>
        <w:t>Nations</w:t>
      </w:r>
      <w:r>
        <w:rPr>
          <w:spacing w:val="15"/>
          <w:sz w:val="22"/>
        </w:rPr>
        <w:t> </w:t>
      </w:r>
      <w:r>
        <w:rPr>
          <w:sz w:val="22"/>
        </w:rPr>
        <w:t>Negotiating</w:t>
      </w:r>
      <w:r>
        <w:rPr>
          <w:spacing w:val="15"/>
          <w:sz w:val="22"/>
        </w:rPr>
        <w:t> </w:t>
      </w:r>
      <w:r>
        <w:rPr>
          <w:sz w:val="22"/>
        </w:rPr>
        <w:t>Conference</w:t>
      </w:r>
      <w:r>
        <w:rPr>
          <w:spacing w:val="15"/>
          <w:sz w:val="22"/>
        </w:rPr>
        <w:t> </w:t>
      </w:r>
      <w:r>
        <w:rPr>
          <w:sz w:val="22"/>
        </w:rPr>
        <w:t>on a Common fund to take into account the African countries’ concern on the distribution of votes under the articles of agreement of the Common Fund;</w:t>
      </w:r>
    </w:p>
    <w:p>
      <w:pPr>
        <w:pStyle w:val="BodyText"/>
        <w:spacing w:before="7"/>
        <w:rPr>
          <w:sz w:val="33"/>
        </w:rPr>
      </w:pPr>
    </w:p>
    <w:p>
      <w:pPr>
        <w:pStyle w:val="ListParagraph"/>
        <w:numPr>
          <w:ilvl w:val="0"/>
          <w:numId w:val="1"/>
        </w:numPr>
        <w:tabs>
          <w:tab w:pos="1185" w:val="left" w:leader="none"/>
        </w:tabs>
        <w:spacing w:line="369" w:lineRule="auto" w:before="0" w:after="0"/>
        <w:ind w:left="1183" w:right="149" w:hanging="336"/>
        <w:jc w:val="both"/>
        <w:rPr>
          <w:sz w:val="22"/>
        </w:rPr>
      </w:pPr>
      <w:r>
        <w:rPr>
          <w:b/>
          <w:sz w:val="22"/>
        </w:rPr>
        <w:t>FURTHER URGES </w:t>
      </w:r>
      <w:r>
        <w:rPr>
          <w:sz w:val="22"/>
        </w:rPr>
        <w:t>Member States of UNCTAD as well as international organizations which have not yet done so to announce their pledges of voluntary contributions to the second window of the Common fund before its Fourth Session in convened;</w:t>
      </w:r>
    </w:p>
    <w:p>
      <w:pPr>
        <w:pStyle w:val="BodyText"/>
        <w:spacing w:before="11"/>
        <w:rPr>
          <w:sz w:val="33"/>
        </w:rPr>
      </w:pPr>
    </w:p>
    <w:p>
      <w:pPr>
        <w:pStyle w:val="ListParagraph"/>
        <w:numPr>
          <w:ilvl w:val="0"/>
          <w:numId w:val="1"/>
        </w:numPr>
        <w:tabs>
          <w:tab w:pos="1185" w:val="left" w:leader="none"/>
        </w:tabs>
        <w:spacing w:line="367" w:lineRule="auto" w:before="0" w:after="0"/>
        <w:ind w:left="1183" w:right="158" w:hanging="336"/>
        <w:jc w:val="both"/>
        <w:rPr>
          <w:sz w:val="22"/>
        </w:rPr>
      </w:pPr>
      <w:r>
        <w:rPr>
          <w:b/>
          <w:sz w:val="22"/>
        </w:rPr>
        <w:t>REAFFIRMS </w:t>
      </w:r>
      <w:r>
        <w:rPr>
          <w:sz w:val="22"/>
        </w:rPr>
        <w:t>the expressed desire of the African region for the need for a greater sense of urgency in the implementation of the Integrated Programme for </w:t>
      </w:r>
      <w:r>
        <w:rPr>
          <w:spacing w:val="-2"/>
          <w:sz w:val="22"/>
        </w:rPr>
        <w:t>Commodities,</w:t>
      </w:r>
    </w:p>
    <w:p>
      <w:pPr>
        <w:pStyle w:val="BodyText"/>
        <w:spacing w:before="3"/>
        <w:rPr>
          <w:sz w:val="34"/>
        </w:rPr>
      </w:pPr>
    </w:p>
    <w:p>
      <w:pPr>
        <w:pStyle w:val="ListParagraph"/>
        <w:numPr>
          <w:ilvl w:val="0"/>
          <w:numId w:val="1"/>
        </w:numPr>
        <w:tabs>
          <w:tab w:pos="1185" w:val="left" w:leader="none"/>
        </w:tabs>
        <w:spacing w:line="369" w:lineRule="auto" w:before="0" w:after="0"/>
        <w:ind w:left="1183" w:right="162" w:hanging="336"/>
        <w:jc w:val="both"/>
        <w:rPr>
          <w:sz w:val="22"/>
        </w:rPr>
      </w:pPr>
      <w:r>
        <w:rPr>
          <w:b/>
          <w:sz w:val="22"/>
        </w:rPr>
        <w:t>TAKES</w:t>
      </w:r>
      <w:r>
        <w:rPr>
          <w:b/>
          <w:spacing w:val="40"/>
          <w:sz w:val="22"/>
        </w:rPr>
        <w:t> </w:t>
      </w:r>
      <w:r>
        <w:rPr>
          <w:b/>
          <w:sz w:val="22"/>
        </w:rPr>
        <w:t>NOTE</w:t>
      </w:r>
      <w:r>
        <w:rPr>
          <w:b/>
          <w:spacing w:val="40"/>
          <w:sz w:val="22"/>
        </w:rPr>
        <w:t> </w:t>
      </w:r>
      <w:r>
        <w:rPr>
          <w:sz w:val="22"/>
        </w:rPr>
        <w:t>of</w:t>
      </w:r>
      <w:r>
        <w:rPr>
          <w:spacing w:val="40"/>
          <w:sz w:val="22"/>
        </w:rPr>
        <w:t> </w:t>
      </w:r>
      <w:r>
        <w:rPr>
          <w:sz w:val="22"/>
        </w:rPr>
        <w:t>UNCTAD</w:t>
      </w:r>
      <w:r>
        <w:rPr>
          <w:spacing w:val="40"/>
          <w:sz w:val="22"/>
        </w:rPr>
        <w:t> </w:t>
      </w:r>
      <w:r>
        <w:rPr>
          <w:sz w:val="22"/>
        </w:rPr>
        <w:t>V’s</w:t>
      </w:r>
      <w:r>
        <w:rPr>
          <w:spacing w:val="40"/>
          <w:sz w:val="22"/>
        </w:rPr>
        <w:t> </w:t>
      </w:r>
      <w:r>
        <w:rPr>
          <w:sz w:val="22"/>
        </w:rPr>
        <w:t>decision</w:t>
      </w:r>
      <w:r>
        <w:rPr>
          <w:spacing w:val="40"/>
          <w:sz w:val="22"/>
        </w:rPr>
        <w:t> </w:t>
      </w:r>
      <w:r>
        <w:rPr>
          <w:sz w:val="22"/>
        </w:rPr>
        <w:t>to</w:t>
      </w:r>
      <w:r>
        <w:rPr>
          <w:spacing w:val="40"/>
          <w:sz w:val="22"/>
        </w:rPr>
        <w:t> </w:t>
      </w:r>
      <w:r>
        <w:rPr>
          <w:sz w:val="22"/>
        </w:rPr>
        <w:t>establish</w:t>
      </w:r>
      <w:r>
        <w:rPr>
          <w:spacing w:val="40"/>
          <w:sz w:val="22"/>
        </w:rPr>
        <w:t> </w:t>
      </w:r>
      <w:r>
        <w:rPr>
          <w:sz w:val="22"/>
        </w:rPr>
        <w:t>frameworks</w:t>
      </w:r>
      <w:r>
        <w:rPr>
          <w:spacing w:val="40"/>
          <w:sz w:val="22"/>
        </w:rPr>
        <w:t> </w:t>
      </w:r>
      <w:r>
        <w:rPr>
          <w:sz w:val="22"/>
        </w:rPr>
        <w:t>of international co-operation for expanding the processing of primary commodities</w:t>
      </w:r>
      <w:r>
        <w:rPr>
          <w:spacing w:val="80"/>
          <w:sz w:val="22"/>
        </w:rPr>
        <w:t> </w:t>
      </w:r>
      <w:r>
        <w:rPr>
          <w:sz w:val="22"/>
        </w:rPr>
        <w:t>and the export of processed goods in developing countries and for the marketing</w:t>
      </w:r>
      <w:r>
        <w:rPr>
          <w:spacing w:val="80"/>
          <w:sz w:val="22"/>
        </w:rPr>
        <w:t> </w:t>
      </w:r>
      <w:r>
        <w:rPr>
          <w:sz w:val="22"/>
        </w:rPr>
        <w:t>and distribution of commodity exports of these countries;</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44" w:hanging="336"/>
        <w:jc w:val="both"/>
        <w:rPr>
          <w:sz w:val="22"/>
        </w:rPr>
      </w:pPr>
      <w:r>
        <w:rPr>
          <w:b/>
          <w:sz w:val="22"/>
        </w:rPr>
        <w:t>CALLS UPON </w:t>
      </w:r>
      <w:r>
        <w:rPr>
          <w:sz w:val="22"/>
        </w:rPr>
        <w:t>the UNCTAD Secretary-General to assist in establishing an appropriate</w:t>
      </w:r>
      <w:r>
        <w:rPr>
          <w:spacing w:val="40"/>
          <w:sz w:val="22"/>
        </w:rPr>
        <w:t> </w:t>
      </w:r>
      <w:r>
        <w:rPr>
          <w:sz w:val="22"/>
        </w:rPr>
        <w:t>inter-governmental</w:t>
      </w:r>
      <w:r>
        <w:rPr>
          <w:spacing w:val="40"/>
          <w:sz w:val="22"/>
        </w:rPr>
        <w:t> </w:t>
      </w:r>
      <w:r>
        <w:rPr>
          <w:sz w:val="22"/>
        </w:rPr>
        <w:t>machinery</w:t>
      </w:r>
      <w:r>
        <w:rPr>
          <w:spacing w:val="40"/>
          <w:sz w:val="22"/>
        </w:rPr>
        <w:t> </w:t>
      </w:r>
      <w:r>
        <w:rPr>
          <w:sz w:val="22"/>
        </w:rPr>
        <w:t>for</w:t>
      </w:r>
      <w:r>
        <w:rPr>
          <w:spacing w:val="40"/>
          <w:sz w:val="22"/>
        </w:rPr>
        <w:t> </w:t>
      </w:r>
      <w:r>
        <w:rPr>
          <w:sz w:val="22"/>
        </w:rPr>
        <w:t>continuing</w:t>
      </w:r>
      <w:r>
        <w:rPr>
          <w:spacing w:val="40"/>
          <w:sz w:val="22"/>
        </w:rPr>
        <w:t> </w:t>
      </w:r>
      <w:r>
        <w:rPr>
          <w:sz w:val="22"/>
        </w:rPr>
        <w:t>negotiations</w:t>
      </w:r>
      <w:r>
        <w:rPr>
          <w:spacing w:val="40"/>
          <w:sz w:val="22"/>
        </w:rPr>
        <w:t> </w:t>
      </w:r>
      <w:r>
        <w:rPr>
          <w:sz w:val="22"/>
        </w:rPr>
        <w:t>on individual commodities in the fields of processing and marketing and distribution;</w:t>
      </w:r>
    </w:p>
    <w:p>
      <w:pPr>
        <w:pStyle w:val="BodyText"/>
        <w:spacing w:before="7"/>
        <w:rPr>
          <w:sz w:val="33"/>
        </w:rPr>
      </w:pPr>
    </w:p>
    <w:p>
      <w:pPr>
        <w:pStyle w:val="ListParagraph"/>
        <w:numPr>
          <w:ilvl w:val="0"/>
          <w:numId w:val="1"/>
        </w:numPr>
        <w:tabs>
          <w:tab w:pos="1185" w:val="left" w:leader="none"/>
        </w:tabs>
        <w:spacing w:line="369" w:lineRule="auto" w:before="0" w:after="0"/>
        <w:ind w:left="1183" w:right="147" w:hanging="336"/>
        <w:jc w:val="both"/>
        <w:rPr>
          <w:sz w:val="22"/>
        </w:rPr>
      </w:pPr>
      <w:r>
        <w:rPr>
          <w:b/>
          <w:sz w:val="22"/>
        </w:rPr>
        <w:t>FURTHER CALLS UPON </w:t>
      </w:r>
      <w:r>
        <w:rPr>
          <w:sz w:val="22"/>
        </w:rPr>
        <w:t>the Secretary-General of UNCTAD in consultation with the OAU Secretary-General to undertake studies of the needs and costs in the medium term in die fields of research and development, market promotion and horizontal diversification for commodities in the indicative list contained in Resolution 93 (IV) of UNCTAD IV held in Nairobi, Kenya in 1976;</w:t>
      </w:r>
    </w:p>
    <w:p>
      <w:pPr>
        <w:pStyle w:val="BodyText"/>
        <w:spacing w:before="6"/>
        <w:rPr>
          <w:sz w:val="33"/>
        </w:rPr>
      </w:pPr>
    </w:p>
    <w:p>
      <w:pPr>
        <w:pStyle w:val="ListParagraph"/>
        <w:numPr>
          <w:ilvl w:val="0"/>
          <w:numId w:val="1"/>
        </w:numPr>
        <w:tabs>
          <w:tab w:pos="1185" w:val="left" w:leader="none"/>
        </w:tabs>
        <w:spacing w:line="369" w:lineRule="auto" w:before="0" w:after="0"/>
        <w:ind w:left="1184" w:right="151" w:hanging="336"/>
        <w:jc w:val="both"/>
        <w:rPr>
          <w:sz w:val="22"/>
        </w:rPr>
      </w:pPr>
      <w:r>
        <w:rPr>
          <w:b/>
          <w:sz w:val="22"/>
        </w:rPr>
        <w:t>URGES </w:t>
      </w:r>
      <w:r>
        <w:rPr>
          <w:sz w:val="22"/>
        </w:rPr>
        <w:t>the Secretary-General of UNCTAD to complete this work as early as possible and to make it available through the appropriate procedures to the</w:t>
      </w:r>
      <w:r>
        <w:rPr>
          <w:spacing w:val="80"/>
          <w:sz w:val="22"/>
        </w:rPr>
        <w:t> </w:t>
      </w:r>
      <w:r>
        <w:rPr>
          <w:sz w:val="22"/>
        </w:rPr>
        <w:t>Common Fund</w:t>
      </w:r>
      <w:r>
        <w:rPr>
          <w:spacing w:val="32"/>
          <w:sz w:val="22"/>
        </w:rPr>
        <w:t> </w:t>
      </w:r>
      <w:r>
        <w:rPr>
          <w:sz w:val="22"/>
        </w:rPr>
        <w:t>as an aid</w:t>
      </w:r>
      <w:r>
        <w:rPr>
          <w:spacing w:val="32"/>
          <w:sz w:val="22"/>
        </w:rPr>
        <w:t> </w:t>
      </w:r>
      <w:r>
        <w:rPr>
          <w:sz w:val="22"/>
        </w:rPr>
        <w:t>to</w:t>
      </w:r>
      <w:r>
        <w:rPr>
          <w:spacing w:val="32"/>
          <w:sz w:val="22"/>
        </w:rPr>
        <w:t> </w:t>
      </w:r>
      <w:r>
        <w:rPr>
          <w:sz w:val="22"/>
        </w:rPr>
        <w:t>its investment programme</w:t>
      </w:r>
      <w:r>
        <w:rPr>
          <w:spacing w:val="32"/>
          <w:sz w:val="22"/>
        </w:rPr>
        <w:t> </w:t>
      </w:r>
      <w:r>
        <w:rPr>
          <w:sz w:val="22"/>
        </w:rPr>
        <w:t>under</w:t>
      </w:r>
      <w:r>
        <w:rPr>
          <w:spacing w:val="32"/>
          <w:sz w:val="22"/>
        </w:rPr>
        <w:t> </w:t>
      </w:r>
      <w:r>
        <w:rPr>
          <w:sz w:val="22"/>
        </w:rPr>
        <w:t>the second</w:t>
      </w:r>
      <w:r>
        <w:rPr>
          <w:spacing w:val="32"/>
          <w:sz w:val="22"/>
        </w:rPr>
        <w:t> </w:t>
      </w:r>
      <w:r>
        <w:rPr>
          <w:sz w:val="22"/>
        </w:rPr>
        <w:t>window and to the relevant financial institutions in Africa.</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1.559998pt;margin-top:34.068241pt;width:137.7pt;height:14.5pt;mso-position-horizontal-relative:page;mso-position-vertical-relative:page;z-index:-15756800" type="#_x0000_t202" id="docshape1" filled="false" stroked="false">
          <v:textbox inset="0,0,0,0">
            <w:txbxContent>
              <w:p>
                <w:pPr>
                  <w:pStyle w:val="BodyText"/>
                  <w:spacing w:before="15"/>
                  <w:ind w:left="20"/>
                </w:pPr>
                <w:r>
                  <w:rPr/>
                  <w:t>CM/Res.</w:t>
                </w:r>
                <w:r>
                  <w:rPr>
                    <w:spacing w:val="16"/>
                  </w:rPr>
                  <w:t> </w:t>
                </w:r>
                <w:r>
                  <w:rPr/>
                  <w:t>748(XXXIII)</w:t>
                </w:r>
                <w:r>
                  <w:rPr>
                    <w:spacing w:val="17"/>
                  </w:rPr>
                  <w:t> </w:t>
                </w:r>
                <w:r>
                  <w:rPr/>
                  <w:t>Rev.</w:t>
                </w:r>
                <w:r>
                  <w:rPr>
                    <w:spacing w:val="16"/>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560" w:hanging="221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2023-06-07T12:48:03Z</dcterms:created>
  <dcterms:modified xsi:type="dcterms:W3CDTF">2023-06-07T12:48:03Z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