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52"/>
        <w:jc w:val="right"/>
      </w:pPr>
      <w:r>
        <w:rPr/>
        <w:t>CM/Res.</w:t>
      </w:r>
      <w:r>
        <w:rPr>
          <w:spacing w:val="16"/>
        </w:rPr>
        <w:t> </w:t>
      </w:r>
      <w:r>
        <w:rPr/>
        <w:t>750(XXXIII)</w:t>
      </w:r>
      <w:r>
        <w:rPr>
          <w:spacing w:val="17"/>
        </w:rPr>
        <w:t> </w:t>
      </w:r>
      <w:r>
        <w:rPr/>
        <w:t>Rev.</w:t>
      </w:r>
      <w:r>
        <w:rPr>
          <w:spacing w:val="16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9"/>
          <w:u w:val="single"/>
        </w:rPr>
        <w:t> </w:t>
      </w:r>
      <w:r>
        <w:rPr>
          <w:u w:val="single"/>
        </w:rPr>
        <w:t>ON</w:t>
      </w:r>
      <w:r>
        <w:rPr>
          <w:spacing w:val="9"/>
          <w:u w:val="single"/>
        </w:rPr>
        <w:t> </w:t>
      </w:r>
      <w:r>
        <w:rPr>
          <w:u w:val="single"/>
        </w:rPr>
        <w:t>MONETARY</w:t>
      </w:r>
      <w:r>
        <w:rPr>
          <w:spacing w:val="9"/>
          <w:u w:val="single"/>
        </w:rPr>
        <w:t> </w:t>
      </w:r>
      <w:r>
        <w:rPr>
          <w:spacing w:val="-2"/>
          <w:u w:val="single"/>
        </w:rPr>
        <w:t>ISSUES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29"/>
        </w:rPr>
        <w:t> </w:t>
      </w:r>
      <w:r>
        <w:rPr/>
        <w:t>Council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Ministers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organization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African</w:t>
      </w:r>
      <w:r>
        <w:rPr>
          <w:spacing w:val="29"/>
        </w:rPr>
        <w:t> </w:t>
      </w:r>
      <w:r>
        <w:rPr/>
        <w:t>Unity</w:t>
      </w:r>
      <w:r>
        <w:rPr>
          <w:spacing w:val="29"/>
        </w:rPr>
        <w:t> </w:t>
      </w:r>
      <w:r>
        <w:rPr/>
        <w:t>meeting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its</w:t>
      </w:r>
      <w:r>
        <w:rPr>
          <w:spacing w:val="29"/>
        </w:rPr>
        <w:t> </w:t>
      </w:r>
      <w:r>
        <w:rPr/>
        <w:t>Thirty- third Ordinary Session in Monrovia, Liberia, from 6 to 20 July 1979;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Deeply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concerned</w:t>
      </w:r>
      <w:r>
        <w:rPr>
          <w:b/>
          <w:spacing w:val="80"/>
        </w:rPr>
        <w:t> </w:t>
      </w:r>
      <w:r>
        <w:rPr/>
        <w:t>at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continuing</w:t>
      </w:r>
      <w:r>
        <w:rPr>
          <w:spacing w:val="80"/>
        </w:rPr>
        <w:t> </w:t>
      </w:r>
      <w:r>
        <w:rPr/>
        <w:t>dislocation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international</w:t>
      </w:r>
      <w:r>
        <w:rPr>
          <w:spacing w:val="80"/>
        </w:rPr>
        <w:t> </w:t>
      </w:r>
      <w:r>
        <w:rPr/>
        <w:t>monetary</w:t>
      </w:r>
      <w:r>
        <w:rPr>
          <w:spacing w:val="40"/>
        </w:rPr>
        <w:t> </w:t>
      </w:r>
      <w:r>
        <w:rPr>
          <w:spacing w:val="-2"/>
        </w:rPr>
        <w:t>relations;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Deploring</w:t>
      </w:r>
      <w:r>
        <w:rPr>
          <w:b/>
          <w:spacing w:val="40"/>
        </w:rPr>
        <w:t> </w:t>
      </w:r>
      <w:r>
        <w:rPr/>
        <w:t>the lack of significant progress towards an international monetary system</w:t>
      </w:r>
      <w:r>
        <w:rPr>
          <w:spacing w:val="80"/>
        </w:rPr>
        <w:t> </w:t>
      </w:r>
      <w:r>
        <w:rPr/>
        <w:t>consistent with the development requirements of developing countries;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4" w:lineRule="auto" w:before="1"/>
        <w:ind w:left="171" w:firstLine="676"/>
      </w:pPr>
      <w:r>
        <w:rPr>
          <w:b/>
          <w:u w:val="single"/>
        </w:rPr>
        <w:t>Emphasising</w:t>
      </w:r>
      <w:r>
        <w:rPr>
          <w:b/>
          <w:spacing w:val="40"/>
        </w:rPr>
        <w:t> </w:t>
      </w:r>
      <w:r>
        <w:rPr/>
        <w:t>that</w:t>
      </w:r>
      <w:r>
        <w:rPr>
          <w:spacing w:val="34"/>
        </w:rPr>
        <w:t> </w:t>
      </w:r>
      <w:r>
        <w:rPr/>
        <w:t>developing</w:t>
      </w:r>
      <w:r>
        <w:rPr>
          <w:spacing w:val="34"/>
        </w:rPr>
        <w:t> </w:t>
      </w:r>
      <w:r>
        <w:rPr/>
        <w:t>countries particularly the least developed among them continue to face an unfair burden of adjustment: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5" w:hanging="336"/>
        <w:jc w:val="both"/>
        <w:rPr>
          <w:sz w:val="22"/>
        </w:rPr>
      </w:pPr>
      <w:r>
        <w:rPr>
          <w:b/>
          <w:sz w:val="22"/>
        </w:rPr>
        <w:t>AFFIRMS </w:t>
      </w:r>
      <w:r>
        <w:rPr>
          <w:sz w:val="22"/>
        </w:rPr>
        <w:t>that a fundamental reform of the international monetary system is a prerequisite for overcoming the present crisis and the establishment of the NIEO;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2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all Member countries to work urgently in a spirit of international co- operation to enable the high-level inter-governmental group of experts established</w:t>
      </w:r>
      <w:r>
        <w:rPr>
          <w:spacing w:val="40"/>
          <w:sz w:val="22"/>
        </w:rPr>
        <w:t> </w:t>
      </w:r>
      <w:r>
        <w:rPr>
          <w:sz w:val="22"/>
        </w:rPr>
        <w:t>by resolution 128 (V) to carry out its tasks expeditiously;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2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submit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report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monetary issues to the thirty-fourth Ordinary Session of the Council of 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354" w:right="236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2023-06-07T12:48:08Z</dcterms:created>
  <dcterms:modified xsi:type="dcterms:W3CDTF">2023-06-07T12:48:08Z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