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RELATING TO THE BIOLOGICAL</w:t>
      </w:r>
      <w:r>
        <w:rPr>
          <w:u w:val="none"/>
        </w:rPr>
        <w:t> </w:t>
      </w:r>
      <w:r>
        <w:rPr>
          <w:u w:val="single"/>
        </w:rPr>
        <w:t>DEVELOPMENT OF THE FOURA DJALLON MOUNTAIN</w:t>
      </w:r>
    </w:p>
    <w:p>
      <w:pPr>
        <w:pStyle w:val="BodyText"/>
        <w:spacing w:before="6"/>
        <w:rPr>
          <w:b/>
          <w:sz w:val="24"/>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48" w:firstLine="676"/>
        <w:jc w:val="both"/>
      </w:pPr>
      <w:r>
        <w:rPr>
          <w:b/>
          <w:u w:val="single"/>
        </w:rPr>
        <w:t>Having taken note</w:t>
      </w:r>
      <w:r>
        <w:rPr>
          <w:b/>
        </w:rPr>
        <w:t> </w:t>
      </w:r>
      <w:r>
        <w:rPr/>
        <w:t>of document (CM/980 (XXXIII)) submitted by the General Secretariat to the Sixth Ordinary Session of the </w:t>
      </w:r>
      <w:r>
        <w:rPr>
          <w:u w:val="single"/>
        </w:rPr>
        <w:t>Ad Hoc</w:t>
      </w:r>
      <w:r>
        <w:rPr/>
        <w:t> Committee on Drought and other natural Disasters;</w:t>
      </w:r>
    </w:p>
    <w:p>
      <w:pPr>
        <w:pStyle w:val="BodyText"/>
        <w:spacing w:before="7"/>
        <w:rPr>
          <w:sz w:val="33"/>
        </w:rPr>
      </w:pPr>
    </w:p>
    <w:p>
      <w:pPr>
        <w:pStyle w:val="BodyText"/>
        <w:spacing w:line="372" w:lineRule="auto"/>
        <w:ind w:left="171" w:right="145" w:firstLine="676"/>
        <w:jc w:val="both"/>
      </w:pPr>
      <w:r>
        <w:rPr>
          <w:b/>
          <w:u w:val="single"/>
        </w:rPr>
        <w:t>Considering</w:t>
      </w:r>
      <w:r>
        <w:rPr>
          <w:b/>
          <w:spacing w:val="40"/>
        </w:rPr>
        <w:t> </w:t>
      </w:r>
      <w:r>
        <w:rPr/>
        <w:t>the</w:t>
      </w:r>
      <w:r>
        <w:rPr>
          <w:spacing w:val="40"/>
        </w:rPr>
        <w:t> </w:t>
      </w:r>
      <w:r>
        <w:rPr/>
        <w:t>disastrous</w:t>
      </w:r>
      <w:r>
        <w:rPr>
          <w:spacing w:val="40"/>
        </w:rPr>
        <w:t> </w:t>
      </w:r>
      <w:r>
        <w:rPr/>
        <w:t>effects</w:t>
      </w:r>
      <w:r>
        <w:rPr>
          <w:spacing w:val="40"/>
        </w:rPr>
        <w:t> </w:t>
      </w:r>
      <w:r>
        <w:rPr/>
        <w:t>of</w:t>
      </w:r>
      <w:r>
        <w:rPr>
          <w:spacing w:val="40"/>
        </w:rPr>
        <w:t> </w:t>
      </w:r>
      <w:r>
        <w:rPr/>
        <w:t>the</w:t>
      </w:r>
      <w:r>
        <w:rPr>
          <w:spacing w:val="40"/>
        </w:rPr>
        <w:t> </w:t>
      </w:r>
      <w:r>
        <w:rPr/>
        <w:t>sudden</w:t>
      </w:r>
      <w:r>
        <w:rPr>
          <w:spacing w:val="40"/>
        </w:rPr>
        <w:t> </w:t>
      </w:r>
      <w:r>
        <w:rPr/>
        <w:t>resurgence</w:t>
      </w:r>
      <w:r>
        <w:rPr>
          <w:spacing w:val="40"/>
        </w:rPr>
        <w:t> </w:t>
      </w:r>
      <w:r>
        <w:rPr/>
        <w:t>of</w:t>
      </w:r>
      <w:r>
        <w:rPr>
          <w:spacing w:val="40"/>
        </w:rPr>
        <w:t> </w:t>
      </w:r>
      <w:r>
        <w:rPr/>
        <w:t>drought</w:t>
      </w:r>
      <w:r>
        <w:rPr>
          <w:spacing w:val="40"/>
        </w:rPr>
        <w:t> </w:t>
      </w:r>
      <w:r>
        <w:rPr/>
        <w:t>in</w:t>
      </w:r>
      <w:r>
        <w:rPr>
          <w:spacing w:val="40"/>
        </w:rPr>
        <w:t> </w:t>
      </w:r>
      <w:r>
        <w:rPr/>
        <w:t>the Sahelian sub-region and its rapid extensions to many countries of the sub-region during the 1977/78 period;</w:t>
      </w:r>
    </w:p>
    <w:p>
      <w:pPr>
        <w:pStyle w:val="BodyText"/>
        <w:spacing w:before="11"/>
        <w:rPr>
          <w:sz w:val="32"/>
        </w:rPr>
      </w:pPr>
    </w:p>
    <w:p>
      <w:pPr>
        <w:pStyle w:val="BodyText"/>
        <w:spacing w:line="369" w:lineRule="auto"/>
        <w:ind w:left="171" w:right="142" w:firstLine="676"/>
        <w:jc w:val="both"/>
      </w:pPr>
      <w:r>
        <w:rPr>
          <w:b/>
          <w:u w:val="single"/>
        </w:rPr>
        <w:t>Considering</w:t>
      </w:r>
      <w:r>
        <w:rPr>
          <w:b/>
        </w:rPr>
        <w:t> </w:t>
      </w:r>
      <w:r>
        <w:rPr/>
        <w:t>the international plan of action to combat desertification and the urgent need to launch a joint programme for the control of desertification in Africa during the 1980</w:t>
      </w:r>
      <w:r>
        <w:rPr>
          <w:spacing w:val="-14"/>
        </w:rPr>
        <w:t> </w:t>
      </w:r>
      <w:r>
        <w:rPr/>
        <w:t>- 1990 decade whose main objective would be the rehabilitation and biological improvement of degraded ecosystems;</w:t>
      </w:r>
    </w:p>
    <w:p>
      <w:pPr>
        <w:pStyle w:val="BodyText"/>
        <w:spacing w:before="11"/>
        <w:rPr>
          <w:sz w:val="33"/>
        </w:rPr>
      </w:pPr>
    </w:p>
    <w:p>
      <w:pPr>
        <w:pStyle w:val="BodyText"/>
        <w:spacing w:line="369" w:lineRule="auto"/>
        <w:ind w:left="171" w:right="145" w:firstLine="676"/>
        <w:jc w:val="both"/>
      </w:pPr>
      <w:r>
        <w:rPr>
          <w:b/>
          <w:u w:val="single"/>
        </w:rPr>
        <w:t>Considering</w:t>
      </w:r>
      <w:r>
        <w:rPr>
          <w:b/>
        </w:rPr>
        <w:t> </w:t>
      </w:r>
      <w:r>
        <w:rPr/>
        <w:t>that the attainment of the objectives of such a programme would require the</w:t>
      </w:r>
      <w:r>
        <w:rPr>
          <w:spacing w:val="30"/>
        </w:rPr>
        <w:t> </w:t>
      </w:r>
      <w:r>
        <w:rPr/>
        <w:t>launching</w:t>
      </w:r>
      <w:r>
        <w:rPr>
          <w:spacing w:val="30"/>
        </w:rPr>
        <w:t> </w:t>
      </w:r>
      <w:r>
        <w:rPr/>
        <w:t>of</w:t>
      </w:r>
      <w:r>
        <w:rPr>
          <w:spacing w:val="30"/>
        </w:rPr>
        <w:t> </w:t>
      </w:r>
      <w:r>
        <w:rPr/>
        <w:t>a</w:t>
      </w:r>
      <w:r>
        <w:rPr>
          <w:spacing w:val="30"/>
        </w:rPr>
        <w:t> </w:t>
      </w:r>
      <w:r>
        <w:rPr/>
        <w:t>joint</w:t>
      </w:r>
      <w:r>
        <w:rPr>
          <w:spacing w:val="30"/>
        </w:rPr>
        <w:t> </w:t>
      </w:r>
      <w:r>
        <w:rPr/>
        <w:t>campaign</w:t>
      </w:r>
      <w:r>
        <w:rPr>
          <w:spacing w:val="30"/>
        </w:rPr>
        <w:t> </w:t>
      </w:r>
      <w:r>
        <w:rPr/>
        <w:t>which</w:t>
      </w:r>
      <w:r>
        <w:rPr>
          <w:spacing w:val="30"/>
        </w:rPr>
        <w:t> </w:t>
      </w:r>
      <w:r>
        <w:rPr/>
        <w:t>would</w:t>
      </w:r>
      <w:r>
        <w:rPr>
          <w:spacing w:val="31"/>
        </w:rPr>
        <w:t> </w:t>
      </w:r>
      <w:r>
        <w:rPr/>
        <w:t>include</w:t>
      </w:r>
      <w:r>
        <w:rPr>
          <w:spacing w:val="30"/>
        </w:rPr>
        <w:t> </w:t>
      </w:r>
      <w:r>
        <w:rPr/>
        <w:t>the</w:t>
      </w:r>
      <w:r>
        <w:rPr>
          <w:spacing w:val="30"/>
        </w:rPr>
        <w:t> </w:t>
      </w:r>
      <w:r>
        <w:rPr/>
        <w:t>establishment</w:t>
      </w:r>
      <w:r>
        <w:rPr>
          <w:spacing w:val="30"/>
        </w:rPr>
        <w:t> </w:t>
      </w:r>
      <w:r>
        <w:rPr/>
        <w:t>of</w:t>
      </w:r>
      <w:r>
        <w:rPr>
          <w:spacing w:val="30"/>
        </w:rPr>
        <w:t> </w:t>
      </w:r>
      <w:r>
        <w:rPr/>
        <w:t>a</w:t>
      </w:r>
      <w:r>
        <w:rPr>
          <w:spacing w:val="30"/>
        </w:rPr>
        <w:t> </w:t>
      </w:r>
      <w:r>
        <w:rPr/>
        <w:t>green</w:t>
      </w:r>
      <w:r>
        <w:rPr>
          <w:spacing w:val="30"/>
        </w:rPr>
        <w:t> </w:t>
      </w:r>
      <w:r>
        <w:rPr/>
        <w:t>belt</w:t>
      </w:r>
      <w:r>
        <w:rPr>
          <w:spacing w:val="30"/>
        </w:rPr>
        <w:t> </w:t>
      </w:r>
      <w:r>
        <w:rPr/>
        <w:t>to the</w:t>
      </w:r>
      <w:r>
        <w:rPr>
          <w:spacing w:val="40"/>
        </w:rPr>
        <w:t> </w:t>
      </w:r>
      <w:r>
        <w:rPr/>
        <w:t>North</w:t>
      </w:r>
      <w:r>
        <w:rPr>
          <w:spacing w:val="40"/>
        </w:rPr>
        <w:t> </w:t>
      </w:r>
      <w:r>
        <w:rPr/>
        <w:t>and</w:t>
      </w:r>
      <w:r>
        <w:rPr>
          <w:spacing w:val="40"/>
        </w:rPr>
        <w:t> </w:t>
      </w:r>
      <w:r>
        <w:rPr/>
        <w:t>South</w:t>
      </w:r>
      <w:r>
        <w:rPr>
          <w:spacing w:val="40"/>
        </w:rPr>
        <w:t> </w:t>
      </w:r>
      <w:r>
        <w:rPr/>
        <w:t>of</w:t>
      </w:r>
      <w:r>
        <w:rPr>
          <w:spacing w:val="40"/>
        </w:rPr>
        <w:t> </w:t>
      </w:r>
      <w:r>
        <w:rPr/>
        <w:t>the</w:t>
      </w:r>
      <w:r>
        <w:rPr>
          <w:spacing w:val="40"/>
        </w:rPr>
        <w:t> </w:t>
      </w:r>
      <w:r>
        <w:rPr/>
        <w:t>Sahara</w:t>
      </w:r>
      <w:r>
        <w:rPr>
          <w:spacing w:val="40"/>
        </w:rPr>
        <w:t> </w:t>
      </w:r>
      <w:r>
        <w:rPr/>
        <w:t>which</w:t>
      </w:r>
      <w:r>
        <w:rPr>
          <w:spacing w:val="40"/>
        </w:rPr>
        <w:t> </w:t>
      </w:r>
      <w:r>
        <w:rPr/>
        <w:t>is</w:t>
      </w:r>
      <w:r>
        <w:rPr>
          <w:spacing w:val="40"/>
        </w:rPr>
        <w:t> </w:t>
      </w:r>
      <w:r>
        <w:rPr/>
        <w:t>on</w:t>
      </w:r>
      <w:r>
        <w:rPr>
          <w:spacing w:val="40"/>
        </w:rPr>
        <w:t> </w:t>
      </w:r>
      <w:r>
        <w:rPr/>
        <w:t>of</w:t>
      </w:r>
      <w:r>
        <w:rPr>
          <w:spacing w:val="40"/>
        </w:rPr>
        <w:t> </w:t>
      </w:r>
      <w:r>
        <w:rPr/>
        <w:t>the</w:t>
      </w:r>
      <w:r>
        <w:rPr>
          <w:spacing w:val="40"/>
        </w:rPr>
        <w:t> </w:t>
      </w:r>
      <w:r>
        <w:rPr/>
        <w:t>four</w:t>
      </w:r>
      <w:r>
        <w:rPr>
          <w:spacing w:val="40"/>
        </w:rPr>
        <w:t> </w:t>
      </w:r>
      <w:r>
        <w:rPr/>
        <w:t>transnational</w:t>
      </w:r>
      <w:r>
        <w:rPr>
          <w:spacing w:val="40"/>
        </w:rPr>
        <w:t> </w:t>
      </w:r>
      <w:r>
        <w:rPr/>
        <w:t>pilot</w:t>
      </w:r>
      <w:r>
        <w:rPr>
          <w:spacing w:val="40"/>
        </w:rPr>
        <w:t> </w:t>
      </w:r>
      <w:r>
        <w:rPr/>
        <w:t>projects proposed by the UN Conference on Desertification;</w:t>
      </w:r>
    </w:p>
    <w:p>
      <w:pPr>
        <w:pStyle w:val="BodyText"/>
        <w:spacing w:before="11"/>
        <w:rPr>
          <w:sz w:val="33"/>
        </w:rPr>
      </w:pPr>
    </w:p>
    <w:p>
      <w:pPr>
        <w:pStyle w:val="BodyText"/>
        <w:spacing w:line="367" w:lineRule="auto"/>
        <w:ind w:left="171" w:right="156" w:firstLine="676"/>
        <w:jc w:val="both"/>
      </w:pPr>
      <w:r>
        <w:rPr>
          <w:b/>
          <w:u w:val="single"/>
        </w:rPr>
        <w:t>Conscious</w:t>
      </w:r>
      <w:r>
        <w:rPr>
          <w:b/>
        </w:rPr>
        <w:t> </w:t>
      </w:r>
      <w:r>
        <w:rPr/>
        <w:t>of the fact that the development of the Fouta Djallon which represents an excellent</w:t>
      </w:r>
      <w:r>
        <w:rPr>
          <w:spacing w:val="40"/>
        </w:rPr>
        <w:t> </w:t>
      </w:r>
      <w:r>
        <w:rPr/>
        <w:t>water</w:t>
      </w:r>
      <w:r>
        <w:rPr>
          <w:spacing w:val="40"/>
        </w:rPr>
        <w:t> </w:t>
      </w:r>
      <w:r>
        <w:rPr/>
        <w:t>catchment</w:t>
      </w:r>
      <w:r>
        <w:rPr>
          <w:spacing w:val="40"/>
        </w:rPr>
        <w:t> </w:t>
      </w:r>
      <w:r>
        <w:rPr/>
        <w:t>in</w:t>
      </w:r>
      <w:r>
        <w:rPr>
          <w:spacing w:val="40"/>
        </w:rPr>
        <w:t> </w:t>
      </w:r>
      <w:r>
        <w:rPr/>
        <w:t>West</w:t>
      </w:r>
      <w:r>
        <w:rPr>
          <w:spacing w:val="40"/>
        </w:rPr>
        <w:t> </w:t>
      </w:r>
      <w:r>
        <w:rPr/>
        <w:t>Africa</w:t>
      </w:r>
      <w:r>
        <w:rPr>
          <w:spacing w:val="40"/>
        </w:rPr>
        <w:t> </w:t>
      </w:r>
      <w:r>
        <w:rPr/>
        <w:t>constitutes</w:t>
      </w:r>
      <w:r>
        <w:rPr>
          <w:spacing w:val="40"/>
        </w:rPr>
        <w:t> </w:t>
      </w:r>
      <w:r>
        <w:rPr/>
        <w:t>a</w:t>
      </w:r>
      <w:r>
        <w:rPr>
          <w:spacing w:val="40"/>
        </w:rPr>
        <w:t> </w:t>
      </w:r>
      <w:r>
        <w:rPr/>
        <w:t>safety</w:t>
      </w:r>
      <w:r>
        <w:rPr>
          <w:spacing w:val="40"/>
        </w:rPr>
        <w:t> </w:t>
      </w:r>
      <w:r>
        <w:rPr/>
        <w:t>relief</w:t>
      </w:r>
      <w:r>
        <w:rPr>
          <w:spacing w:val="40"/>
        </w:rPr>
        <w:t> </w:t>
      </w:r>
      <w:r>
        <w:rPr/>
        <w:t>during</w:t>
      </w:r>
      <w:r>
        <w:rPr>
          <w:spacing w:val="40"/>
        </w:rPr>
        <w:t> </w:t>
      </w:r>
      <w:r>
        <w:rPr/>
        <w:t>the</w:t>
      </w:r>
      <w:r>
        <w:rPr>
          <w:spacing w:val="40"/>
        </w:rPr>
        <w:t> </w:t>
      </w:r>
      <w:r>
        <w:rPr/>
        <w:t>drought months in West Africa:</w:t>
      </w:r>
    </w:p>
    <w:p>
      <w:pPr>
        <w:pStyle w:val="BodyText"/>
        <w:spacing w:before="3"/>
        <w:rPr>
          <w:sz w:val="34"/>
        </w:rPr>
      </w:pPr>
    </w:p>
    <w:p>
      <w:pPr>
        <w:pStyle w:val="ListParagraph"/>
        <w:numPr>
          <w:ilvl w:val="0"/>
          <w:numId w:val="1"/>
        </w:numPr>
        <w:tabs>
          <w:tab w:pos="1185" w:val="left" w:leader="none"/>
        </w:tabs>
        <w:spacing w:line="367" w:lineRule="auto" w:before="0" w:after="0"/>
        <w:ind w:left="1184" w:right="152" w:hanging="336"/>
        <w:jc w:val="both"/>
        <w:rPr>
          <w:sz w:val="22"/>
        </w:rPr>
      </w:pPr>
      <w:r>
        <w:rPr>
          <w:b/>
          <w:sz w:val="22"/>
        </w:rPr>
        <w:t>REQUESTS </w:t>
      </w:r>
      <w:r>
        <w:rPr>
          <w:sz w:val="22"/>
        </w:rPr>
        <w:t>the Executive Director of the United Nations Environmental Programme to integrate the Pilot project for the development and rehabilitation of the Fonta Djallon Plateau with the transnational project for the establishment of a green belt to the South of the Sahara;</w:t>
      </w:r>
    </w:p>
    <w:p>
      <w:pPr>
        <w:spacing w:after="0" w:line="367"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7" w:lineRule="auto" w:before="85" w:after="0"/>
        <w:ind w:left="1184" w:right="145" w:hanging="336"/>
        <w:jc w:val="both"/>
        <w:rPr>
          <w:sz w:val="22"/>
        </w:rPr>
      </w:pPr>
      <w:r>
        <w:rPr>
          <w:b/>
          <w:sz w:val="22"/>
        </w:rPr>
        <w:t>DECIDES</w:t>
      </w:r>
      <w:r>
        <w:rPr>
          <w:b/>
          <w:spacing w:val="33"/>
          <w:sz w:val="22"/>
        </w:rPr>
        <w:t> </w:t>
      </w:r>
      <w:r>
        <w:rPr>
          <w:sz w:val="22"/>
        </w:rPr>
        <w:t>that the Organization of African Unity (OAU) should</w:t>
      </w:r>
      <w:r>
        <w:rPr>
          <w:spacing w:val="24"/>
          <w:sz w:val="22"/>
        </w:rPr>
        <w:t> </w:t>
      </w:r>
      <w:r>
        <w:rPr>
          <w:sz w:val="22"/>
        </w:rPr>
        <w:t>participate fully</w:t>
      </w:r>
      <w:r>
        <w:rPr>
          <w:spacing w:val="80"/>
          <w:sz w:val="22"/>
        </w:rPr>
        <w:t> </w:t>
      </w:r>
      <w:r>
        <w:rPr>
          <w:sz w:val="22"/>
        </w:rPr>
        <w:t>in</w:t>
      </w:r>
      <w:r>
        <w:rPr>
          <w:spacing w:val="40"/>
          <w:sz w:val="22"/>
        </w:rPr>
        <w:t> </w:t>
      </w:r>
      <w:r>
        <w:rPr>
          <w:sz w:val="22"/>
        </w:rPr>
        <w:t>the</w:t>
      </w:r>
      <w:r>
        <w:rPr>
          <w:spacing w:val="40"/>
          <w:sz w:val="22"/>
        </w:rPr>
        <w:t> </w:t>
      </w:r>
      <w:r>
        <w:rPr>
          <w:sz w:val="22"/>
        </w:rPr>
        <w:t>immediate</w:t>
      </w:r>
      <w:r>
        <w:rPr>
          <w:spacing w:val="40"/>
          <w:sz w:val="22"/>
        </w:rPr>
        <w:t> </w:t>
      </w:r>
      <w:r>
        <w:rPr>
          <w:sz w:val="22"/>
        </w:rPr>
        <w:t>implementation</w:t>
      </w:r>
      <w:r>
        <w:rPr>
          <w:spacing w:val="40"/>
          <w:sz w:val="22"/>
        </w:rPr>
        <w:t> </w:t>
      </w:r>
      <w:r>
        <w:rPr>
          <w:sz w:val="22"/>
        </w:rPr>
        <w:t>of</w:t>
      </w:r>
      <w:r>
        <w:rPr>
          <w:spacing w:val="40"/>
          <w:sz w:val="22"/>
        </w:rPr>
        <w:t> </w:t>
      </w:r>
      <w:r>
        <w:rPr>
          <w:sz w:val="22"/>
        </w:rPr>
        <w:t>the</w:t>
      </w:r>
      <w:r>
        <w:rPr>
          <w:spacing w:val="40"/>
          <w:sz w:val="22"/>
        </w:rPr>
        <w:t> </w:t>
      </w:r>
      <w:r>
        <w:rPr>
          <w:sz w:val="22"/>
        </w:rPr>
        <w:t>pilot</w:t>
      </w:r>
      <w:r>
        <w:rPr>
          <w:spacing w:val="40"/>
          <w:sz w:val="22"/>
        </w:rPr>
        <w:t> </w:t>
      </w:r>
      <w:r>
        <w:rPr>
          <w:sz w:val="22"/>
        </w:rPr>
        <w:t>project</w:t>
      </w:r>
      <w:r>
        <w:rPr>
          <w:spacing w:val="40"/>
          <w:sz w:val="22"/>
        </w:rPr>
        <w:t> </w:t>
      </w:r>
      <w:r>
        <w:rPr>
          <w:sz w:val="22"/>
        </w:rPr>
        <w:t>to</w:t>
      </w:r>
      <w:r>
        <w:rPr>
          <w:spacing w:val="40"/>
          <w:sz w:val="22"/>
        </w:rPr>
        <w:t> </w:t>
      </w:r>
      <w:r>
        <w:rPr>
          <w:sz w:val="22"/>
        </w:rPr>
        <w:t>ensure</w:t>
      </w:r>
      <w:r>
        <w:rPr>
          <w:spacing w:val="40"/>
          <w:sz w:val="22"/>
        </w:rPr>
        <w:t> </w:t>
      </w:r>
      <w:r>
        <w:rPr>
          <w:sz w:val="22"/>
        </w:rPr>
        <w:t>the</w:t>
      </w:r>
      <w:r>
        <w:rPr>
          <w:spacing w:val="40"/>
          <w:sz w:val="22"/>
        </w:rPr>
        <w:t> </w:t>
      </w:r>
      <w:r>
        <w:rPr>
          <w:sz w:val="22"/>
        </w:rPr>
        <w:t>development and</w:t>
      </w:r>
      <w:r>
        <w:rPr>
          <w:spacing w:val="37"/>
          <w:sz w:val="22"/>
        </w:rPr>
        <w:t> </w:t>
      </w:r>
      <w:r>
        <w:rPr>
          <w:sz w:val="22"/>
        </w:rPr>
        <w:t>rehabilitation</w:t>
      </w:r>
      <w:r>
        <w:rPr>
          <w:spacing w:val="35"/>
          <w:sz w:val="22"/>
        </w:rPr>
        <w:t> </w:t>
      </w:r>
      <w:r>
        <w:rPr>
          <w:sz w:val="22"/>
        </w:rPr>
        <w:t>of</w:t>
      </w:r>
      <w:r>
        <w:rPr>
          <w:spacing w:val="35"/>
          <w:sz w:val="22"/>
        </w:rPr>
        <w:t> </w:t>
      </w:r>
      <w:r>
        <w:rPr>
          <w:sz w:val="22"/>
        </w:rPr>
        <w:t>the</w:t>
      </w:r>
      <w:r>
        <w:rPr>
          <w:spacing w:val="35"/>
          <w:sz w:val="22"/>
        </w:rPr>
        <w:t> </w:t>
      </w:r>
      <w:r>
        <w:rPr>
          <w:sz w:val="22"/>
        </w:rPr>
        <w:t>Fouta</w:t>
      </w:r>
      <w:r>
        <w:rPr>
          <w:spacing w:val="35"/>
          <w:sz w:val="22"/>
        </w:rPr>
        <w:t> </w:t>
      </w:r>
      <w:r>
        <w:rPr>
          <w:sz w:val="22"/>
        </w:rPr>
        <w:t>Djallon</w:t>
      </w:r>
      <w:r>
        <w:rPr>
          <w:spacing w:val="35"/>
          <w:sz w:val="22"/>
        </w:rPr>
        <w:t> </w:t>
      </w:r>
      <w:r>
        <w:rPr>
          <w:sz w:val="22"/>
        </w:rPr>
        <w:t>plateau</w:t>
      </w:r>
      <w:r>
        <w:rPr>
          <w:spacing w:val="37"/>
          <w:sz w:val="22"/>
        </w:rPr>
        <w:t> </w:t>
      </w:r>
      <w:r>
        <w:rPr>
          <w:sz w:val="22"/>
        </w:rPr>
        <w:t>by</w:t>
      </w:r>
      <w:r>
        <w:rPr>
          <w:spacing w:val="35"/>
          <w:sz w:val="22"/>
        </w:rPr>
        <w:t> </w:t>
      </w:r>
      <w:r>
        <w:rPr>
          <w:sz w:val="22"/>
        </w:rPr>
        <w:t>co-ordinating</w:t>
      </w:r>
      <w:r>
        <w:rPr>
          <w:spacing w:val="32"/>
          <w:sz w:val="22"/>
        </w:rPr>
        <w:t> </w:t>
      </w:r>
      <w:r>
        <w:rPr>
          <w:sz w:val="22"/>
        </w:rPr>
        <w:t>the</w:t>
      </w:r>
      <w:r>
        <w:rPr>
          <w:spacing w:val="33"/>
          <w:sz w:val="22"/>
        </w:rPr>
        <w:t> </w:t>
      </w:r>
      <w:r>
        <w:rPr>
          <w:sz w:val="22"/>
        </w:rPr>
        <w:t>mobilization of resources needed for the financing of this project;</w:t>
      </w:r>
    </w:p>
    <w:p>
      <w:pPr>
        <w:pStyle w:val="BodyText"/>
        <w:spacing w:before="5"/>
        <w:rPr>
          <w:sz w:val="34"/>
        </w:rPr>
      </w:pPr>
    </w:p>
    <w:p>
      <w:pPr>
        <w:pStyle w:val="ListParagraph"/>
        <w:numPr>
          <w:ilvl w:val="0"/>
          <w:numId w:val="1"/>
        </w:numPr>
        <w:tabs>
          <w:tab w:pos="1185" w:val="left" w:leader="none"/>
        </w:tabs>
        <w:spacing w:line="369" w:lineRule="auto" w:before="0" w:after="0"/>
        <w:ind w:left="1183" w:right="143" w:hanging="336"/>
        <w:jc w:val="both"/>
        <w:rPr>
          <w:sz w:val="22"/>
        </w:rPr>
      </w:pPr>
      <w:r>
        <w:rPr>
          <w:b/>
          <w:sz w:val="22"/>
        </w:rPr>
        <w:t>CALLS ON </w:t>
      </w:r>
      <w:r>
        <w:rPr>
          <w:sz w:val="22"/>
        </w:rPr>
        <w:t>the appropriate agencies of the OAU to immediately undertake negotiations with the financial institution and within the framework of Afro-Arab </w:t>
      </w:r>
      <w:r>
        <w:rPr>
          <w:spacing w:val="-2"/>
          <w:sz w:val="22"/>
        </w:rPr>
        <w:t>Co-operation;</w:t>
      </w:r>
    </w:p>
    <w:p>
      <w:pPr>
        <w:pStyle w:val="BodyText"/>
        <w:spacing w:before="7"/>
        <w:rPr>
          <w:sz w:val="33"/>
        </w:rPr>
      </w:pPr>
    </w:p>
    <w:p>
      <w:pPr>
        <w:pStyle w:val="ListParagraph"/>
        <w:numPr>
          <w:ilvl w:val="0"/>
          <w:numId w:val="1"/>
        </w:numPr>
        <w:tabs>
          <w:tab w:pos="1185" w:val="left" w:leader="none"/>
        </w:tabs>
        <w:spacing w:line="369" w:lineRule="auto" w:before="0" w:after="0"/>
        <w:ind w:left="1183" w:right="145" w:hanging="336"/>
        <w:jc w:val="both"/>
        <w:rPr>
          <w:sz w:val="22"/>
        </w:rPr>
      </w:pPr>
      <w:r>
        <w:rPr>
          <w:b/>
          <w:sz w:val="22"/>
        </w:rPr>
        <w:t>CALLS</w:t>
      </w:r>
      <w:r>
        <w:rPr>
          <w:b/>
          <w:spacing w:val="40"/>
          <w:sz w:val="22"/>
        </w:rPr>
        <w:t> </w:t>
      </w:r>
      <w:r>
        <w:rPr>
          <w:b/>
          <w:sz w:val="22"/>
        </w:rPr>
        <w:t>ON</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establish contacts with the UN Secretary-General so that the latter may mobilize, as soon as possible,</w:t>
      </w:r>
      <w:r>
        <w:rPr>
          <w:spacing w:val="40"/>
          <w:sz w:val="22"/>
        </w:rPr>
        <w:t> </w:t>
      </w:r>
      <w:r>
        <w:rPr>
          <w:sz w:val="22"/>
        </w:rPr>
        <w:t>including</w:t>
      </w:r>
      <w:r>
        <w:rPr>
          <w:spacing w:val="40"/>
          <w:sz w:val="22"/>
        </w:rPr>
        <w:t> </w:t>
      </w:r>
      <w:r>
        <w:rPr>
          <w:sz w:val="22"/>
        </w:rPr>
        <w:t>UNDP,</w:t>
      </w:r>
      <w:r>
        <w:rPr>
          <w:spacing w:val="40"/>
          <w:sz w:val="22"/>
        </w:rPr>
        <w:t> </w:t>
      </w:r>
      <w:r>
        <w:rPr>
          <w:sz w:val="22"/>
        </w:rPr>
        <w:t>FAO</w:t>
      </w:r>
      <w:r>
        <w:rPr>
          <w:spacing w:val="40"/>
          <w:sz w:val="22"/>
        </w:rPr>
        <w:t> </w:t>
      </w:r>
      <w:r>
        <w:rPr>
          <w:sz w:val="22"/>
        </w:rPr>
        <w:t>and</w:t>
      </w:r>
      <w:r>
        <w:rPr>
          <w:spacing w:val="40"/>
          <w:sz w:val="22"/>
        </w:rPr>
        <w:t> </w:t>
      </w:r>
      <w:r>
        <w:rPr>
          <w:sz w:val="22"/>
        </w:rPr>
        <w:t>UNESCO,</w:t>
      </w:r>
      <w:r>
        <w:rPr>
          <w:spacing w:val="40"/>
          <w:sz w:val="22"/>
        </w:rPr>
        <w:t> </w:t>
      </w:r>
      <w:r>
        <w:rPr>
          <w:sz w:val="22"/>
        </w:rPr>
        <w:t>the</w:t>
      </w:r>
      <w:r>
        <w:rPr>
          <w:spacing w:val="40"/>
          <w:sz w:val="22"/>
        </w:rPr>
        <w:t> </w:t>
      </w:r>
      <w:r>
        <w:rPr>
          <w:sz w:val="22"/>
        </w:rPr>
        <w:t>human</w:t>
      </w:r>
      <w:r>
        <w:rPr>
          <w:spacing w:val="40"/>
          <w:sz w:val="22"/>
        </w:rPr>
        <w:t> </w:t>
      </w:r>
      <w:r>
        <w:rPr>
          <w:sz w:val="22"/>
        </w:rPr>
        <w:t>and</w:t>
      </w:r>
      <w:r>
        <w:rPr>
          <w:spacing w:val="40"/>
          <w:sz w:val="22"/>
        </w:rPr>
        <w:t> </w:t>
      </w:r>
      <w:r>
        <w:rPr>
          <w:sz w:val="22"/>
        </w:rPr>
        <w:t>financial resources needed for the services of the qualified experts and consultants who</w:t>
      </w:r>
      <w:r>
        <w:rPr>
          <w:spacing w:val="80"/>
          <w:sz w:val="22"/>
        </w:rPr>
        <w:t> </w:t>
      </w:r>
      <w:r>
        <w:rPr>
          <w:sz w:val="22"/>
        </w:rPr>
        <w:t>would work in the joint teams in charge of preparing the Pilot Project for the development and rehabilitation of the Fouta Djallon and conducting feasibility </w:t>
      </w:r>
      <w:r>
        <w:rPr>
          <w:spacing w:val="-2"/>
          <w:sz w:val="22"/>
        </w:rPr>
        <w:t>studies;</w:t>
      </w:r>
    </w:p>
    <w:p>
      <w:pPr>
        <w:pStyle w:val="BodyText"/>
        <w:spacing w:before="9"/>
        <w:rPr>
          <w:sz w:val="33"/>
        </w:rPr>
      </w:pPr>
    </w:p>
    <w:p>
      <w:pPr>
        <w:pStyle w:val="ListParagraph"/>
        <w:numPr>
          <w:ilvl w:val="0"/>
          <w:numId w:val="1"/>
        </w:numPr>
        <w:tabs>
          <w:tab w:pos="1185" w:val="left" w:leader="none"/>
        </w:tabs>
        <w:spacing w:line="369" w:lineRule="auto" w:before="0" w:after="0"/>
        <w:ind w:left="1183" w:right="143" w:hanging="336"/>
        <w:jc w:val="both"/>
        <w:rPr>
          <w:sz w:val="22"/>
        </w:rPr>
      </w:pPr>
      <w:r>
        <w:rPr>
          <w:b/>
          <w:sz w:val="22"/>
        </w:rPr>
        <w:t>CALLS ON</w:t>
      </w:r>
      <w:r>
        <w:rPr>
          <w:b/>
          <w:spacing w:val="40"/>
          <w:sz w:val="22"/>
        </w:rPr>
        <w:t> </w:t>
      </w:r>
      <w:r>
        <w:rPr>
          <w:sz w:val="22"/>
        </w:rPr>
        <w:t>the Administrative Secretary-General to send a report to the 33</w:t>
      </w:r>
      <w:r>
        <w:rPr>
          <w:sz w:val="22"/>
          <w:vertAlign w:val="superscript"/>
        </w:rPr>
        <w:t>r</w:t>
      </w:r>
      <w:r>
        <w:rPr>
          <w:sz w:val="22"/>
          <w:vertAlign w:val="superscript"/>
        </w:rPr>
        <w:t>d</w:t>
      </w:r>
      <w:r>
        <w:rPr>
          <w:sz w:val="22"/>
          <w:vertAlign w:val="baseline"/>
        </w:rPr>
        <w:t> Ordinary Session of the Council.</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1.559998pt;margin-top:34.068241pt;width:137.7pt;height:14.5pt;mso-position-horizontal-relative:page;mso-position-vertical-relative:page;z-index:-15757312" type="#_x0000_t202" id="docshape1" filled="false" stroked="false">
          <v:textbox inset="0,0,0,0">
            <w:txbxContent>
              <w:p>
                <w:pPr>
                  <w:pStyle w:val="BodyText"/>
                  <w:spacing w:before="15"/>
                  <w:ind w:left="20"/>
                </w:pPr>
                <w:r>
                  <w:rPr/>
                  <w:t>CM/Res.</w:t>
                </w:r>
                <w:r>
                  <w:rPr>
                    <w:spacing w:val="16"/>
                  </w:rPr>
                  <w:t> </w:t>
                </w:r>
                <w:r>
                  <w:rPr/>
                  <w:t>756(XXXIII)</w:t>
                </w:r>
                <w:r>
                  <w:rPr>
                    <w:spacing w:val="17"/>
                  </w:rPr>
                  <w:t> </w:t>
                </w:r>
                <w:r>
                  <w:rPr/>
                  <w:t>Rev.</w:t>
                </w:r>
                <w:r>
                  <w:rPr>
                    <w:spacing w:val="16"/>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419" w:right="198" w:firstLine="39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2023-06-07T12:48:23Z</dcterms:created>
  <dcterms:modified xsi:type="dcterms:W3CDTF">2023-06-07T12:48:23Z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