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pgSz w:w="11900" w:h="16840"/>
          <w:pgMar w:top="1998" w:right="1151" w:bottom="7623" w:left="1201" w:header="0" w:footer="3" w:gutter="0"/>
          <w:cols w:space="720"/>
          <w:noEndnote/>
          <w:rtlGutter w:val="0"/>
          <w:docGrid w:linePitch="360"/>
        </w:sectPr>
      </w:pPr>
    </w:p>
    <w:p>
      <w:pPr>
        <w:widowControl w:val="0"/>
        <w:spacing w:line="1" w:lineRule="exact"/>
      </w:pPr>
      <w:r>
        <mc:AlternateContent>
          <mc:Choice Requires="wps">
            <w:drawing>
              <wp:anchor distT="0" distB="113030" distL="114300" distR="1943100" simplePos="0" relativeHeight="125829378" behindDoc="0" locked="0" layoutInCell="1" allowOverlap="1">
                <wp:simplePos x="0" y="0"/>
                <wp:positionH relativeFrom="page">
                  <wp:posOffset>871220</wp:posOffset>
                </wp:positionH>
                <wp:positionV relativeFrom="paragraph">
                  <wp:posOffset>12700</wp:posOffset>
                </wp:positionV>
                <wp:extent cx="1143000" cy="514985"/>
                <wp:wrapSquare wrapText="right"/>
                <wp:docPr id="1" name="Shape 1"/>
                <a:graphic xmlns:a="http://schemas.openxmlformats.org/drawingml/2006/main">
                  <a:graphicData uri="http://schemas.microsoft.com/office/word/2010/wordprocessingShape">
                    <wps:wsp>
                      <wps:cNvSpPr txBox="1"/>
                      <wps:spPr>
                        <a:xfrm>
                          <a:ext cx="1143000" cy="51498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left"/>
                            </w:pPr>
                            <w:r>
                              <w:rPr>
                                <w:rStyle w:val="CharStyle6"/>
                                <w:smallCaps/>
                              </w:rPr>
                              <w:t>Aj&amp;I 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600000000000009pt;margin-top:1.pt;width:90.pt;height:40.550000000000004pt;z-index:-125829375;mso-wrap-distance-left:9.pt;mso-wrap-distance-right:153.pt;mso-wrap-distance-bottom:8.9000000000000004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left"/>
                      </w:pPr>
                      <w:r>
                        <w:rPr>
                          <w:rStyle w:val="CharStyle6"/>
                          <w:smallCaps/>
                        </w:rPr>
                        <w:t>Aj&amp;I jUHI</w:t>
                      </w:r>
                    </w:p>
                  </w:txbxContent>
                </v:textbox>
                <w10:wrap type="square" side="right" anchorx="page"/>
              </v:shape>
            </w:pict>
          </mc:Fallback>
        </mc:AlternateContent>
      </w:r>
    </w:p>
    <w:p>
      <w:pPr>
        <w:pStyle w:val="Style2"/>
        <w:keepNext w:val="0"/>
        <w:keepLines w:val="0"/>
        <w:widowControl w:val="0"/>
        <w:shd w:val="clear" w:color="auto" w:fill="auto"/>
        <w:bidi w:val="0"/>
        <w:spacing w:before="0" w:after="320" w:line="240" w:lineRule="auto"/>
        <w:ind w:left="0" w:right="0" w:firstLine="42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0" w:right="0" w:firstLine="420"/>
        <w:jc w:val="left"/>
      </w:pPr>
      <w:r>
        <w:rPr>
          <w:rStyle w:val="CharStyle3"/>
          <w:b/>
          <w:bCs/>
        </w:rPr>
        <w:t>UNIAO AFRICANA</w:t>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380" w:line="240" w:lineRule="auto"/>
        <w:ind w:left="0" w:right="0" w:firstLine="0"/>
        <w:jc w:val="left"/>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140"/>
        <w:jc w:val="left"/>
      </w:pPr>
      <w:r>
        <w:rPr>
          <w:rStyle w:val="CharStyle3"/>
          <w:b/>
          <w:bCs/>
        </w:rPr>
        <w:t>PEACE AND SECURITY COUNCIL 384™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5 JULY 2013</w:t>
      </w:r>
    </w:p>
    <w:p>
      <w:pPr>
        <w:pStyle w:val="Style2"/>
        <w:keepNext w:val="0"/>
        <w:keepLines w:val="0"/>
        <w:widowControl w:val="0"/>
        <w:shd w:val="clear" w:color="auto" w:fill="auto"/>
        <w:bidi w:val="0"/>
        <w:spacing w:before="0" w:after="86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20" w:line="240" w:lineRule="auto"/>
        <w:ind w:left="6080" w:right="0" w:firstLine="0"/>
        <w:jc w:val="left"/>
      </w:pPr>
      <w:r>
        <w:rPr>
          <w:rStyle w:val="CharStyle3"/>
          <w:b/>
          <w:bCs/>
        </w:rPr>
        <w:t>PSC/PR/COMM.2(CCCLXXXIV)</w:t>
      </w:r>
    </w:p>
    <w:p>
      <w:pPr>
        <w:pStyle w:val="Style8"/>
        <w:keepNext/>
        <w:keepLines/>
        <w:widowControl w:val="0"/>
        <w:shd w:val="clear" w:color="auto" w:fill="auto"/>
        <w:bidi w:val="0"/>
        <w:spacing w:before="0" w:after="240" w:line="288"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40" w:line="286" w:lineRule="auto"/>
        <w:ind w:left="200" w:right="0" w:firstLine="720"/>
        <w:jc w:val="left"/>
      </w:pPr>
      <w:r>
        <w:rPr>
          <w:rStyle w:val="CharStyle3"/>
        </w:rPr>
        <w:t>The Peace and Security Council of the African Union (AU), at its 384</w:t>
      </w:r>
      <w:r>
        <w:rPr>
          <w:rStyle w:val="CharStyle3"/>
          <w:vertAlign w:val="superscript"/>
        </w:rPr>
        <w:t>th</w:t>
      </w:r>
      <w:r>
        <w:rPr>
          <w:rStyle w:val="CharStyle3"/>
        </w:rPr>
        <w:t xml:space="preserve"> meeting, held on 5 July 2013, adopted the following decision on the phenomenon of unconstitutional changes of government in Africa:</w:t>
      </w:r>
    </w:p>
    <w:p>
      <w:pPr>
        <w:pStyle w:val="Style8"/>
        <w:keepNext/>
        <w:keepLines/>
        <w:widowControl w:val="0"/>
        <w:shd w:val="clear" w:color="auto" w:fill="auto"/>
        <w:bidi w:val="0"/>
        <w:spacing w:before="0" w:after="340" w:line="288" w:lineRule="auto"/>
        <w:ind w:left="0" w:right="0" w:firstLine="200"/>
        <w:jc w:val="left"/>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915" w:val="left"/>
        </w:tabs>
        <w:bidi w:val="0"/>
        <w:spacing w:before="0" w:after="340" w:line="288" w:lineRule="auto"/>
        <w:ind w:left="200" w:right="0" w:firstLine="0"/>
        <w:jc w:val="left"/>
      </w:pPr>
      <w:r>
        <w:rPr>
          <w:rStyle w:val="CharStyle3"/>
          <w:b/>
          <w:bCs/>
        </w:rPr>
        <w:t xml:space="preserve">Acknowledges </w:t>
      </w:r>
      <w:r>
        <w:rPr>
          <w:rStyle w:val="CharStyle3"/>
        </w:rPr>
        <w:t>the need to devote one of its meetings to consideration of lessons learnt from all cases of unconstitutional changes of government in Africa, including the definition and status of popular uprisings or revolutions;</w:t>
      </w:r>
    </w:p>
    <w:p>
      <w:pPr>
        <w:pStyle w:val="Style2"/>
        <w:keepNext w:val="0"/>
        <w:keepLines w:val="0"/>
        <w:widowControl w:val="0"/>
        <w:numPr>
          <w:ilvl w:val="0"/>
          <w:numId w:val="1"/>
        </w:numPr>
        <w:shd w:val="clear" w:color="auto" w:fill="auto"/>
        <w:tabs>
          <w:tab w:pos="915" w:val="left"/>
        </w:tabs>
        <w:bidi w:val="0"/>
        <w:spacing w:before="0" w:after="340" w:line="290" w:lineRule="auto"/>
        <w:ind w:left="200" w:right="0" w:firstLine="0"/>
        <w:jc w:val="left"/>
      </w:pPr>
      <w:r>
        <w:rPr>
          <w:rStyle w:val="CharStyle3"/>
          <w:b/>
          <w:bCs/>
        </w:rPr>
        <w:t xml:space="preserve">Recalls </w:t>
      </w:r>
      <w:r>
        <w:rPr>
          <w:rStyle w:val="CharStyle3"/>
        </w:rPr>
        <w:t>Assembly Decisions Assembly/AU/Dec.220 (XII) and Assembly/AU/Dec.253 (XIII) adopted respectively in February and July 2009, in the context of the implementation of preventive measures against unconstitutional changes of government;</w:t>
      </w:r>
    </w:p>
    <w:p>
      <w:pPr>
        <w:pStyle w:val="Style2"/>
        <w:keepNext w:val="0"/>
        <w:keepLines w:val="0"/>
        <w:widowControl w:val="0"/>
        <w:numPr>
          <w:ilvl w:val="0"/>
          <w:numId w:val="1"/>
        </w:numPr>
        <w:shd w:val="clear" w:color="auto" w:fill="auto"/>
        <w:tabs>
          <w:tab w:pos="915" w:val="left"/>
        </w:tabs>
        <w:bidi w:val="0"/>
        <w:spacing w:before="0" w:after="340" w:line="288" w:lineRule="auto"/>
        <w:ind w:left="0" w:right="0" w:firstLine="200"/>
        <w:jc w:val="left"/>
      </w:pPr>
      <w:r>
        <w:rPr>
          <w:rStyle w:val="CharStyle3"/>
          <w:b/>
          <w:bCs/>
        </w:rPr>
        <w:t xml:space="preserve">Decides </w:t>
      </w:r>
      <w:r>
        <w:rPr>
          <w:rStyle w:val="CharStyle3"/>
        </w:rPr>
        <w:t>to hold such a meeting in the course of 2013;</w:t>
      </w:r>
    </w:p>
    <w:p>
      <w:pPr>
        <w:pStyle w:val="Style2"/>
        <w:keepNext w:val="0"/>
        <w:keepLines w:val="0"/>
        <w:widowControl w:val="0"/>
        <w:numPr>
          <w:ilvl w:val="0"/>
          <w:numId w:val="1"/>
        </w:numPr>
        <w:shd w:val="clear" w:color="auto" w:fill="auto"/>
        <w:tabs>
          <w:tab w:pos="915" w:val="left"/>
        </w:tabs>
        <w:bidi w:val="0"/>
        <w:spacing w:before="0" w:after="340" w:line="240" w:lineRule="auto"/>
        <w:ind w:left="200" w:right="0" w:firstLine="0"/>
        <w:jc w:val="left"/>
      </w:pPr>
      <w:r>
        <w:rPr>
          <w:rStyle w:val="CharStyle3"/>
          <w:b/>
          <w:bCs/>
        </w:rPr>
        <w:t xml:space="preserve">Requests </w:t>
      </w:r>
      <w:r>
        <w:rPr>
          <w:rStyle w:val="CharStyle3"/>
        </w:rPr>
        <w:t>the Commission to take necessary measures, including documentation for the convening of the said meeting;</w:t>
      </w:r>
    </w:p>
    <w:p>
      <w:pPr>
        <w:pStyle w:val="Style2"/>
        <w:keepNext w:val="0"/>
        <w:keepLines w:val="0"/>
        <w:widowControl w:val="0"/>
        <w:numPr>
          <w:ilvl w:val="0"/>
          <w:numId w:val="1"/>
        </w:numPr>
        <w:shd w:val="clear" w:color="auto" w:fill="auto"/>
        <w:tabs>
          <w:tab w:pos="915" w:val="left"/>
        </w:tabs>
        <w:bidi w:val="0"/>
        <w:spacing w:before="0" w:after="340" w:line="288" w:lineRule="auto"/>
        <w:ind w:left="0" w:right="0" w:firstLine="20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type w:val="continuous"/>
      <w:pgSz w:w="11900" w:h="16840"/>
      <w:pgMar w:top="1998" w:right="1151" w:bottom="7623" w:left="12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