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120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80" w:line="240" w:lineRule="auto"/>
        <w:ind w:left="120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800"/>
        <w:jc w:val="left"/>
      </w:pPr>
      <w:r>
        <w:rPr>
          <w:rStyle w:val="CharStyle3"/>
          <w:b/>
          <w:bCs/>
        </w:rPr>
        <w:t>P.O. Box: 3243, Addis Ababa, Ethiopia, Tel.:(251-ll) 551 38 22 Fax: (251-11) 551 93 21</w:t>
      </w:r>
    </w:p>
    <w:p>
      <w:pPr>
        <w:pStyle w:val="Style2"/>
        <w:keepNext w:val="0"/>
        <w:keepLines w:val="0"/>
        <w:widowControl w:val="0"/>
        <w:pBdr>
          <w:bottom w:val="single" w:sz="4" w:space="0" w:color="auto"/>
        </w:pBdr>
        <w:shd w:val="clear" w:color="auto" w:fill="auto"/>
        <w:bidi w:val="0"/>
        <w:spacing w:before="0" w:after="36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r>
        <w:rPr>
          <w:rStyle w:val="CharStyle3"/>
          <w:b/>
          <w:bCs/>
        </w:rPr>
        <w:t xml:space="preserve">, </w:t>
      </w:r>
      <w:r>
        <w:fldChar w:fldCharType="begin"/>
      </w:r>
      <w:r>
        <w:rPr/>
        <w:instrText> HYPERLINK "mailto:oau-ews@ethionet.et" </w:instrText>
      </w:r>
      <w:r>
        <w:fldChar w:fldCharType="separate"/>
      </w:r>
      <w:r>
        <w:rPr>
          <w:rStyle w:val="CharStyle3"/>
          <w:b/>
          <w:bCs/>
        </w:rPr>
        <w:t>oau-ews@ethionet.et</w:t>
      </w:r>
      <w:r>
        <w:fldChar w:fldCharType="end"/>
      </w:r>
    </w:p>
    <w:p>
      <w:pPr>
        <w:pStyle w:val="Style2"/>
        <w:keepNext w:val="0"/>
        <w:keepLines w:val="0"/>
        <w:widowControl w:val="0"/>
        <w:shd w:val="clear" w:color="auto" w:fill="auto"/>
        <w:bidi w:val="0"/>
        <w:spacing w:before="0" w:after="0" w:line="240" w:lineRule="auto"/>
        <w:ind w:left="160" w:right="0" w:firstLine="0"/>
        <w:jc w:val="left"/>
      </w:pPr>
      <w:r>
        <w:rPr>
          <w:rStyle w:val="CharStyle3"/>
          <w:b/>
          <w:bCs/>
        </w:rPr>
        <w:t>PEACE AND SECURITY COUNCIL 478™ MEETING</w:t>
      </w:r>
    </w:p>
    <w:p>
      <w:pPr>
        <w:pStyle w:val="Style2"/>
        <w:keepNext w:val="0"/>
        <w:keepLines w:val="0"/>
        <w:widowControl w:val="0"/>
        <w:shd w:val="clear" w:color="auto" w:fill="auto"/>
        <w:bidi w:val="0"/>
        <w:spacing w:before="0" w:after="0" w:line="240" w:lineRule="auto"/>
        <w:ind w:left="0" w:right="0" w:firstLine="160"/>
        <w:jc w:val="left"/>
      </w:pPr>
      <w:r>
        <w:rPr>
          <w:rStyle w:val="CharStyle3"/>
          <w:b/>
          <w:bCs/>
        </w:rPr>
        <w:t>19 DECEMBER 2014</w:t>
      </w:r>
    </w:p>
    <w:p>
      <w:pPr>
        <w:pStyle w:val="Style2"/>
        <w:keepNext w:val="0"/>
        <w:keepLines w:val="0"/>
        <w:widowControl w:val="0"/>
        <w:shd w:val="clear" w:color="auto" w:fill="auto"/>
        <w:bidi w:val="0"/>
        <w:spacing w:before="0" w:after="820" w:line="240" w:lineRule="auto"/>
        <w:ind w:left="0" w:right="0" w:firstLine="160"/>
        <w:jc w:val="left"/>
      </w:pPr>
      <w:r>
        <w:rPr>
          <w:rStyle w:val="CharStyle3"/>
          <w:b/>
          <w:bCs/>
        </w:rPr>
        <w:t>ADDIS ABABA, ETHIOPIA</w:t>
      </w:r>
    </w:p>
    <w:p>
      <w:pPr>
        <w:pStyle w:val="Style2"/>
        <w:keepNext w:val="0"/>
        <w:keepLines w:val="0"/>
        <w:widowControl w:val="0"/>
        <w:shd w:val="clear" w:color="auto" w:fill="auto"/>
        <w:bidi w:val="0"/>
        <w:spacing w:before="0" w:after="3300" w:line="240" w:lineRule="auto"/>
        <w:ind w:left="6140" w:right="0" w:firstLine="0"/>
        <w:jc w:val="left"/>
      </w:pPr>
      <w:r>
        <w:rPr>
          <w:rStyle w:val="CharStyle3"/>
          <w:b/>
          <w:bCs/>
        </w:rPr>
        <w:t>PSC/PR/COMM(CDLXXVIII)</w:t>
      </w:r>
    </w:p>
    <w:p>
      <w:pPr>
        <w:pStyle w:val="Style2"/>
        <w:keepNext w:val="0"/>
        <w:keepLines w:val="0"/>
        <w:widowControl w:val="0"/>
        <w:shd w:val="clear" w:color="auto" w:fill="auto"/>
        <w:bidi w:val="0"/>
        <w:spacing w:before="0" w:after="220" w:line="240" w:lineRule="auto"/>
        <w:ind w:left="0" w:right="0" w:firstLine="0"/>
        <w:jc w:val="center"/>
        <w:sectPr>
          <w:footnotePr>
            <w:pos w:val="pageBottom"/>
            <w:numFmt w:val="decimal"/>
            <w:numRestart w:val="continuous"/>
          </w:footnotePr>
          <w:pgSz w:w="11900" w:h="16840"/>
          <w:pgMar w:top="1870" w:right="866" w:bottom="1870" w:left="1468"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240" w:line="240"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240" w:line="240" w:lineRule="auto"/>
        <w:ind w:left="160" w:right="0" w:firstLine="680"/>
        <w:jc w:val="both"/>
      </w:pPr>
      <w:r>
        <w:rPr>
          <w:rStyle w:val="CharStyle3"/>
        </w:rPr>
        <w:t>The Peace and Security Council of the African Union, at its 478</w:t>
      </w:r>
      <w:r>
        <w:rPr>
          <w:rStyle w:val="CharStyle3"/>
          <w:vertAlign w:val="superscript"/>
        </w:rPr>
        <w:t>th</w:t>
      </w:r>
      <w:r>
        <w:rPr>
          <w:rStyle w:val="CharStyle3"/>
        </w:rPr>
        <w:t xml:space="preserve"> meeting held on 19 December 2014, considered its working methods and the Conclusions of its Retreats held in Yaounde, Cameroon from 15 to 16 November 2012 and in Djibouti, Djibouti 9 to 10 February 2013. Council also considered the Conclusions of its Retreat on Enhancing the Implementation of the Livingstone Formula for Interaction between the Peace and Security Council and Civil Society Organisations (CSOs) in the Promotion of Peace, Security and Stability in Africa, held in Maseru, the Kingdom of Lesotho, from 22 to 23 February 2014 and its Indicative Annual Programme of Activities for 2015 and adopted the following decision:</w:t>
      </w:r>
    </w:p>
    <w:p>
      <w:pPr>
        <w:pStyle w:val="Style6"/>
        <w:keepNext/>
        <w:keepLines/>
        <w:widowControl w:val="0"/>
        <w:shd w:val="clear" w:color="auto" w:fill="auto"/>
        <w:bidi w:val="0"/>
        <w:spacing w:before="0" w:after="280" w:line="240" w:lineRule="auto"/>
        <w:ind w:left="0" w:right="0" w:firstLine="160"/>
        <w:jc w:val="left"/>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1163" w:val="left"/>
        </w:tabs>
        <w:bidi w:val="0"/>
        <w:spacing w:before="0" w:line="240" w:lineRule="auto"/>
        <w:ind w:left="160" w:right="0" w:firstLine="20"/>
        <w:jc w:val="both"/>
      </w:pPr>
      <w:r>
        <w:rPr>
          <w:rStyle w:val="CharStyle3"/>
          <w:b/>
          <w:bCs/>
        </w:rPr>
        <w:t xml:space="preserve">Recalls </w:t>
      </w:r>
      <w:r>
        <w:rPr>
          <w:rStyle w:val="CharStyle3"/>
        </w:rPr>
        <w:t>its 85</w:t>
      </w:r>
      <w:r>
        <w:rPr>
          <w:rStyle w:val="CharStyle3"/>
          <w:vertAlign w:val="superscript"/>
        </w:rPr>
        <w:t>th</w:t>
      </w:r>
      <w:r>
        <w:rPr>
          <w:rStyle w:val="CharStyle3"/>
        </w:rPr>
        <w:t xml:space="preserve"> meeting held on 8 August 2007, in which Council decided to review its working methods regularly and to adjust them as the need arises;</w:t>
      </w:r>
    </w:p>
    <w:p>
      <w:pPr>
        <w:pStyle w:val="Style2"/>
        <w:keepNext w:val="0"/>
        <w:keepLines w:val="0"/>
        <w:widowControl w:val="0"/>
        <w:numPr>
          <w:ilvl w:val="0"/>
          <w:numId w:val="1"/>
        </w:numPr>
        <w:shd w:val="clear" w:color="auto" w:fill="auto"/>
        <w:tabs>
          <w:tab w:pos="1163" w:val="left"/>
        </w:tabs>
        <w:bidi w:val="0"/>
        <w:spacing w:before="0" w:line="240" w:lineRule="auto"/>
        <w:ind w:left="160" w:right="0" w:firstLine="20"/>
        <w:jc w:val="both"/>
      </w:pPr>
      <w:r>
        <w:rPr>
          <w:rStyle w:val="CharStyle3"/>
          <w:b/>
          <w:bCs/>
        </w:rPr>
        <w:t xml:space="preserve">Further recalls </w:t>
      </w:r>
      <w:r>
        <w:rPr>
          <w:rStyle w:val="CharStyle3"/>
        </w:rPr>
        <w:t>the Conclusions of the Retreats of the Peace and Security Council held in Yaounde in Cameroon, Djibouti and Maseru in Lesotho from 15 to 16 November 2012, 9 to 10 February 2013 and 22 to 23 February 2014, respectively, in which Council reviewed its working methods and the Formula for its interaction with CSOs in the promotion of peace, security and stability in Africa and submitted them to the Assembly of the Union for information, respectively in May 2013 and June 2014;</w:t>
      </w:r>
    </w:p>
    <w:p>
      <w:pPr>
        <w:pStyle w:val="Style2"/>
        <w:keepNext w:val="0"/>
        <w:keepLines w:val="0"/>
        <w:widowControl w:val="0"/>
        <w:numPr>
          <w:ilvl w:val="0"/>
          <w:numId w:val="1"/>
        </w:numPr>
        <w:shd w:val="clear" w:color="auto" w:fill="auto"/>
        <w:tabs>
          <w:tab w:pos="1163" w:val="left"/>
        </w:tabs>
        <w:bidi w:val="0"/>
        <w:spacing w:before="0" w:line="240" w:lineRule="auto"/>
        <w:ind w:left="160" w:right="0" w:firstLine="20"/>
        <w:jc w:val="both"/>
      </w:pPr>
      <w:r>
        <w:rPr>
          <w:rStyle w:val="CharStyle3"/>
          <w:b/>
          <w:bCs/>
        </w:rPr>
        <w:t xml:space="preserve">Decides, </w:t>
      </w:r>
      <w:r>
        <w:rPr>
          <w:rStyle w:val="CharStyle3"/>
        </w:rPr>
        <w:t xml:space="preserve">further to this comprehensive review, to adopt the Conclusions on Working Methods of the Peace and Security Council of the Yaounde and Djibouti Retreats, as well as the Conclusions on Enhancing the Implementation of the Livingstone Formula for Interaction between Council and CSOs as contained in the Conclusions of the Maseru Retreat. Council </w:t>
      </w:r>
      <w:r>
        <w:rPr>
          <w:rStyle w:val="CharStyle3"/>
          <w:b/>
          <w:bCs/>
        </w:rPr>
        <w:t xml:space="preserve">further decides </w:t>
      </w:r>
      <w:r>
        <w:rPr>
          <w:rStyle w:val="CharStyle3"/>
        </w:rPr>
        <w:t>to submit these Conclusions to the Assembly for endorsement;</w:t>
      </w:r>
    </w:p>
    <w:p>
      <w:pPr>
        <w:pStyle w:val="Style2"/>
        <w:keepNext w:val="0"/>
        <w:keepLines w:val="0"/>
        <w:widowControl w:val="0"/>
        <w:numPr>
          <w:ilvl w:val="0"/>
          <w:numId w:val="1"/>
        </w:numPr>
        <w:shd w:val="clear" w:color="auto" w:fill="auto"/>
        <w:tabs>
          <w:tab w:pos="1163" w:val="left"/>
        </w:tabs>
        <w:bidi w:val="0"/>
        <w:spacing w:before="0" w:line="233" w:lineRule="auto"/>
        <w:ind w:left="160" w:right="0" w:firstLine="20"/>
        <w:jc w:val="both"/>
      </w:pPr>
      <w:r>
        <w:rPr>
          <w:rStyle w:val="CharStyle3"/>
          <w:b/>
          <w:bCs/>
        </w:rPr>
        <w:t xml:space="preserve">Further decides </w:t>
      </w:r>
      <w:r>
        <w:rPr>
          <w:rStyle w:val="CharStyle3"/>
        </w:rPr>
        <w:t xml:space="preserve">to provisionally adopt its Indicative Annual Programme of Activities for 2015 and </w:t>
      </w:r>
      <w:r>
        <w:rPr>
          <w:rStyle w:val="CharStyle3"/>
          <w:b/>
          <w:bCs/>
        </w:rPr>
        <w:t xml:space="preserve">agrees </w:t>
      </w:r>
      <w:r>
        <w:rPr>
          <w:rStyle w:val="CharStyle3"/>
        </w:rPr>
        <w:t>to review its implementation periodically.</w:t>
      </w:r>
    </w:p>
    <w:p>
      <w:pPr>
        <w:pStyle w:val="Style2"/>
        <w:keepNext w:val="0"/>
        <w:keepLines w:val="0"/>
        <w:widowControl w:val="0"/>
        <w:numPr>
          <w:ilvl w:val="0"/>
          <w:numId w:val="1"/>
        </w:numPr>
        <w:shd w:val="clear" w:color="auto" w:fill="auto"/>
        <w:tabs>
          <w:tab w:pos="1163" w:val="left"/>
        </w:tabs>
        <w:bidi w:val="0"/>
        <w:spacing w:before="0" w:line="240" w:lineRule="auto"/>
        <w:ind w:left="160" w:right="0" w:firstLine="20"/>
        <w:jc w:val="both"/>
      </w:pPr>
      <w:r>
        <w:rPr>
          <w:rStyle w:val="CharStyle3"/>
          <w:b/>
          <w:bCs/>
        </w:rPr>
        <w:t xml:space="preserve">Requests </w:t>
      </w:r>
      <w:r>
        <w:rPr>
          <w:rStyle w:val="CharStyle3"/>
        </w:rPr>
        <w:t xml:space="preserve">the Commission to implement the AU Travel Policy in a way that provides for the same conditions of travel for AU Commission and Member States on the same mission and </w:t>
      </w:r>
      <w:r>
        <w:rPr>
          <w:rStyle w:val="CharStyle3"/>
          <w:b/>
          <w:bCs/>
        </w:rPr>
        <w:t xml:space="preserve">decides </w:t>
      </w:r>
      <w:r>
        <w:rPr>
          <w:rStyle w:val="CharStyle3"/>
        </w:rPr>
        <w:t>that for the annual joint consultative meetings between the AU PSC, UN Security Council, European Union Political and Security Committee and such similar other meetings, Ambassadors shall be accompanied by one Officer from their respective Embassies at the cost of the AU;</w:t>
      </w:r>
    </w:p>
    <w:p>
      <w:pPr>
        <w:pStyle w:val="Style2"/>
        <w:keepNext w:val="0"/>
        <w:keepLines w:val="0"/>
        <w:widowControl w:val="0"/>
        <w:shd w:val="clear" w:color="auto" w:fill="auto"/>
        <w:bidi w:val="0"/>
        <w:spacing w:before="0" w:line="240" w:lineRule="auto"/>
        <w:ind w:left="0" w:right="0" w:firstLine="160"/>
        <w:jc w:val="left"/>
      </w:pPr>
      <w:r>
        <mc:AlternateContent>
          <mc:Choice Requires="wps">
            <w:drawing>
              <wp:anchor distT="0" distB="0" distL="114300" distR="114300" simplePos="0" relativeHeight="125829378" behindDoc="0" locked="0" layoutInCell="1" allowOverlap="1">
                <wp:simplePos x="0" y="0"/>
                <wp:positionH relativeFrom="page">
                  <wp:posOffset>1036955</wp:posOffset>
                </wp:positionH>
                <wp:positionV relativeFrom="paragraph">
                  <wp:posOffset>12700</wp:posOffset>
                </wp:positionV>
                <wp:extent cx="130810" cy="182880"/>
                <wp:wrapSquare wrapText="right"/>
                <wp:docPr id="1" name="Shape 1"/>
                <a:graphic xmlns:a="http://schemas.openxmlformats.org/drawingml/2006/main">
                  <a:graphicData uri="http://schemas.microsoft.com/office/word/2010/wordprocessingShape">
                    <wps:wsp>
                      <wps:cNvSpPr txBox="1"/>
                      <wps:spPr>
                        <a:xfrm>
                          <a:ext cx="13081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6.</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1.650000000000006pt;margin-top:1.pt;width:10.300000000000001pt;height:14.4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6.</w:t>
                      </w:r>
                    </w:p>
                  </w:txbxContent>
                </v:textbox>
                <w10:wrap type="square" side="right" anchorx="page"/>
              </v:shape>
            </w:pict>
          </mc:Fallback>
        </mc:AlternateContent>
      </w: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1923" w:right="868" w:bottom="1923" w:left="146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