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40" w:lineRule="auto"/>
        <w:ind w:left="1220" w:right="0" w:firstLine="0"/>
        <w:jc w:val="left"/>
      </w:pPr>
      <w:r>
        <mc:AlternateContent>
          <mc:Choice Requires="wps">
            <w:drawing>
              <wp:anchor distT="0" distB="0" distL="114300" distR="1687195" simplePos="0" relativeHeight="125829378" behindDoc="0" locked="0" layoutInCell="1" allowOverlap="1">
                <wp:simplePos x="0" y="0"/>
                <wp:positionH relativeFrom="page">
                  <wp:posOffset>1574165</wp:posOffset>
                </wp:positionH>
                <wp:positionV relativeFrom="paragraph">
                  <wp:posOffset>38100</wp:posOffset>
                </wp:positionV>
                <wp:extent cx="1090930" cy="631190"/>
                <wp:wrapSquare wrapText="right"/>
                <wp:docPr id="1" name="Shape 1"/>
                <a:graphic xmlns:a="http://schemas.openxmlformats.org/drawingml/2006/main">
                  <a:graphicData uri="http://schemas.microsoft.com/office/word/2010/wordprocessingShape">
                    <wps:wsp>
                      <wps:cNvSpPr txBox="1"/>
                      <wps:spPr>
                        <a:xfrm>
                          <a:ext cx="1090930" cy="631190"/>
                        </a:xfrm>
                        <a:prstGeom prst="rect"/>
                        <a:noFill/>
                      </wps:spPr>
                      <wps:txbx>
                        <w:txbxContent>
                          <w:p>
                            <w:pPr>
                              <w:pStyle w:val="Style2"/>
                              <w:keepNext w:val="0"/>
                              <w:keepLines w:val="0"/>
                              <w:widowControl w:val="0"/>
                              <w:shd w:val="clear" w:color="auto" w:fill="auto"/>
                              <w:bidi w:val="0"/>
                              <w:spacing w:before="0" w:after="8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rPr>
                                <w:sz w:val="52"/>
                                <w:szCs w:val="52"/>
                              </w:rPr>
                            </w:pPr>
                            <w:r>
                              <w:rPr>
                                <w:rStyle w:val="CharStyle6"/>
                                <w:rFonts w:ascii="Times New Roman" w:eastAsia="Times New Roman" w:hAnsi="Times New Roman" w:cs="Times New Roman"/>
                                <w:sz w:val="52"/>
                                <w:szCs w:val="52"/>
                              </w:rPr>
                              <w:t>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3.95pt;margin-top:3.pt;width:85.900000000000006pt;height:49.700000000000003pt;z-index:-125829375;mso-wrap-distance-left:9.pt;mso-wrap-distance-right:132.84999999999999pt;mso-position-horizontal-relative:page" filled="f" stroked="f">
                <v:textbox inset="0,0,0,0">
                  <w:txbxContent>
                    <w:p>
                      <w:pPr>
                        <w:pStyle w:val="Style2"/>
                        <w:keepNext w:val="0"/>
                        <w:keepLines w:val="0"/>
                        <w:widowControl w:val="0"/>
                        <w:shd w:val="clear" w:color="auto" w:fill="auto"/>
                        <w:bidi w:val="0"/>
                        <w:spacing w:before="0" w:after="8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rPr>
                          <w:sz w:val="52"/>
                          <w:szCs w:val="52"/>
                        </w:rPr>
                      </w:pPr>
                      <w:r>
                        <w:rPr>
                          <w:rStyle w:val="CharStyle6"/>
                          <w:rFonts w:ascii="Times New Roman" w:eastAsia="Times New Roman" w:hAnsi="Times New Roman" w:cs="Times New Roman"/>
                          <w:sz w:val="52"/>
                          <w:szCs w:val="52"/>
                        </w:rPr>
                        <w:t>juni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220" w:line="240" w:lineRule="auto"/>
        <w:ind w:left="122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868</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140" w:line="264" w:lineRule="auto"/>
        <w:ind w:left="0" w:right="0" w:firstLine="0"/>
        <w:jc w:val="left"/>
      </w:pPr>
      <w:r>
        <w:rPr>
          <w:rStyle w:val="CharStyle3"/>
          <w:b/>
          <w:bCs/>
        </w:rPr>
        <w:t>ADDIS ABABA, ETHIOPIA 19 AUGUST 2019</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1870" w:right="1131" w:bottom="7750" w:left="1240" w:header="0" w:footer="3" w:gutter="0"/>
          <w:cols w:space="720"/>
          <w:noEndnote/>
          <w:rtlGutter w:val="0"/>
          <w:docGrid w:linePitch="360"/>
        </w:sectPr>
      </w:pPr>
      <w:r>
        <w:rPr>
          <w:rStyle w:val="CharStyle3"/>
          <w:b/>
          <w:bCs/>
        </w:rPr>
        <w:t>PSC/PR/COMM. 2(DCCCXLIVIII)</w:t>
      </w:r>
    </w:p>
    <w:p>
      <w:pPr>
        <w:pStyle w:val="Style8"/>
        <w:keepNext/>
        <w:keepLines/>
        <w:widowControl w:val="0"/>
        <w:shd w:val="clear" w:color="auto" w:fill="auto"/>
        <w:bidi w:val="0"/>
        <w:spacing w:before="0" w:after="18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180" w:line="271" w:lineRule="auto"/>
        <w:ind w:left="0" w:right="0" w:firstLine="0"/>
        <w:jc w:val="left"/>
      </w:pPr>
      <w:r>
        <w:rPr>
          <w:rStyle w:val="CharStyle3"/>
          <w:b/>
          <w:bCs/>
        </w:rPr>
        <w:t>Adopted by the Peace and Security Council (PSC) of the African Union (AU) at its 868</w:t>
      </w:r>
      <w:r>
        <w:rPr>
          <w:rStyle w:val="CharStyle3"/>
          <w:b/>
          <w:bCs/>
          <w:vertAlign w:val="superscript"/>
        </w:rPr>
        <w:t>th</w:t>
      </w:r>
      <w:r>
        <w:rPr>
          <w:rStyle w:val="CharStyle3"/>
          <w:b/>
          <w:bCs/>
        </w:rPr>
        <w:t xml:space="preserve"> meeting held on 19 August 2019 on the Report on the Resource Mobilization Process in Support of the AU Efforts for the Implementation of the Political Agreement for Peace and Reconciliation in the CAR and its Annex,</w:t>
      </w:r>
    </w:p>
    <w:p>
      <w:pPr>
        <w:pStyle w:val="Style2"/>
        <w:keepNext w:val="0"/>
        <w:keepLines w:val="0"/>
        <w:widowControl w:val="0"/>
        <w:shd w:val="clear" w:color="auto" w:fill="auto"/>
        <w:bidi w:val="0"/>
        <w:spacing w:before="0" w:after="180" w:line="259" w:lineRule="auto"/>
        <w:ind w:left="0" w:right="0" w:firstLine="0"/>
        <w:jc w:val="both"/>
      </w:pPr>
      <w:r>
        <w:rPr>
          <w:rStyle w:val="CharStyle3"/>
        </w:rPr>
        <w:t>The Peace and Security Council,</w:t>
      </w:r>
    </w:p>
    <w:p>
      <w:pPr>
        <w:pStyle w:val="Style2"/>
        <w:keepNext w:val="0"/>
        <w:keepLines w:val="0"/>
        <w:widowControl w:val="0"/>
        <w:shd w:val="clear" w:color="auto" w:fill="auto"/>
        <w:bidi w:val="0"/>
        <w:spacing w:before="0" w:after="180" w:line="276" w:lineRule="auto"/>
        <w:ind w:left="0" w:right="0" w:firstLine="740"/>
        <w:jc w:val="both"/>
      </w:pPr>
      <w:r>
        <w:rPr>
          <w:rStyle w:val="CharStyle3"/>
          <w:b/>
          <w:bCs/>
          <w:i/>
          <w:iCs/>
          <w:sz w:val="22"/>
          <w:szCs w:val="22"/>
        </w:rPr>
        <w:t>Taking note</w:t>
      </w:r>
      <w:r>
        <w:rPr>
          <w:rStyle w:val="CharStyle3"/>
        </w:rPr>
        <w:t xml:space="preserve"> of the </w:t>
      </w:r>
      <w:r>
        <w:rPr>
          <w:rStyle w:val="CharStyle3"/>
          <w:i/>
          <w:iCs/>
        </w:rPr>
        <w:t>"Report on the Resource Mobilization Process in Support of the AU Ef</w:t>
        <w:softHyphen/>
        <w:t>forts for the Implementation of the Political Agreement for Peace and Reconciliation in the CAR and its Annex"</w:t>
      </w:r>
      <w:r>
        <w:rPr>
          <w:rStyle w:val="CharStyle3"/>
        </w:rPr>
        <w:t xml:space="preserve"> and the briefing made by Dr. Admore Kambudzi, Director for Peace and Security Department, on behalf of the AU Commissioner for Peace and Security, H.E Ambassador Smail Chergui;</w:t>
      </w:r>
    </w:p>
    <w:p>
      <w:pPr>
        <w:pStyle w:val="Style2"/>
        <w:keepNext w:val="0"/>
        <w:keepLines w:val="0"/>
        <w:widowControl w:val="0"/>
        <w:shd w:val="clear" w:color="auto" w:fill="auto"/>
        <w:bidi w:val="0"/>
        <w:spacing w:before="0" w:after="180" w:line="276" w:lineRule="auto"/>
        <w:ind w:left="0" w:right="0" w:firstLine="740"/>
        <w:jc w:val="both"/>
      </w:pPr>
      <w:r>
        <w:rPr>
          <w:rStyle w:val="CharStyle3"/>
          <w:b/>
          <w:bCs/>
          <w:i/>
          <w:iCs/>
          <w:sz w:val="22"/>
          <w:szCs w:val="22"/>
        </w:rPr>
        <w:t>Recalling</w:t>
      </w:r>
      <w:r>
        <w:rPr>
          <w:rStyle w:val="CharStyle3"/>
        </w:rPr>
        <w:t xml:space="preserve"> its previous communiques on the situation in the CAR, particularly that of its 826</w:t>
      </w:r>
      <w:r>
        <w:rPr>
          <w:rStyle w:val="CharStyle3"/>
          <w:vertAlign w:val="superscript"/>
        </w:rPr>
        <w:t>th</w:t>
      </w:r>
      <w:r>
        <w:rPr>
          <w:rStyle w:val="CharStyle3"/>
        </w:rPr>
        <w:t xml:space="preserve"> meeting, held at the Ministerial level on 9 February 2019 and the Press Statement of its 834</w:t>
      </w:r>
      <w:r>
        <w:rPr>
          <w:rStyle w:val="CharStyle3"/>
          <w:vertAlign w:val="superscript"/>
        </w:rPr>
        <w:t xml:space="preserve">th </w:t>
      </w:r>
      <w:r>
        <w:rPr>
          <w:rStyle w:val="CharStyle3"/>
        </w:rPr>
        <w:t>meeting, held on 21 March 2019 and the communique of its 848</w:t>
      </w:r>
      <w:r>
        <w:rPr>
          <w:rStyle w:val="CharStyle3"/>
          <w:vertAlign w:val="superscript"/>
        </w:rPr>
        <w:t>th</w:t>
      </w:r>
      <w:r>
        <w:rPr>
          <w:rStyle w:val="CharStyle3"/>
        </w:rPr>
        <w:t xml:space="preserve"> meeting held on 9 May 2019.</w:t>
      </w:r>
    </w:p>
    <w:p>
      <w:pPr>
        <w:pStyle w:val="Style2"/>
        <w:keepNext w:val="0"/>
        <w:keepLines w:val="0"/>
        <w:widowControl w:val="0"/>
        <w:shd w:val="clear" w:color="auto" w:fill="auto"/>
        <w:bidi w:val="0"/>
        <w:spacing w:before="0" w:after="180" w:line="259" w:lineRule="auto"/>
        <w:ind w:left="0" w:right="0" w:firstLine="0"/>
        <w:jc w:val="both"/>
      </w:pPr>
      <w:r>
        <w:rPr>
          <w:rStyle w:val="CharStyle3"/>
          <w:u w:val="single"/>
        </w:rPr>
        <w:t>Acting under Article 7 of its Protocol, the Peace and Security Council</w:t>
      </w:r>
      <w:r>
        <w:rPr>
          <w:rStyle w:val="CharStyle3"/>
        </w:rPr>
        <w:t>:</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Parties to the Political Agreement on Peace and Reconciliation (PAPR) in the Central African Republic for the progress made on its implementation; </w:t>
      </w:r>
      <w:r>
        <w:rPr>
          <w:rStyle w:val="CharStyle3"/>
          <w:b/>
          <w:bCs/>
          <w:i/>
          <w:iCs/>
          <w:sz w:val="22"/>
          <w:szCs w:val="22"/>
        </w:rPr>
        <w:t>Stresses the imperative need</w:t>
      </w:r>
      <w:r>
        <w:rPr>
          <w:rStyle w:val="CharStyle3"/>
        </w:rPr>
        <w:t xml:space="preserve"> for all the signatories to scrupulously respect the provisions in the PAPR, in particular up</w:t>
        <w:softHyphen/>
        <w:t xml:space="preserve">holding the cessation of hostilities throughout the territory; in this regard, </w:t>
      </w:r>
      <w:r>
        <w:rPr>
          <w:rStyle w:val="CharStyle3"/>
          <w:b/>
          <w:bCs/>
          <w:i/>
          <w:iCs/>
          <w:sz w:val="22"/>
          <w:szCs w:val="22"/>
        </w:rPr>
        <w:t>warns</w:t>
      </w:r>
      <w:r>
        <w:rPr>
          <w:rStyle w:val="CharStyle3"/>
        </w:rPr>
        <w:t xml:space="preserve"> that spoilers and all those who may seek to obstruct the implementation of the Agreement and the overall peace process in the country will be held accountable and Council remains determined to consider ap</w:t>
        <w:softHyphen/>
        <w:t>propriate punitive measures;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Further commends</w:t>
      </w:r>
      <w:r>
        <w:rPr>
          <w:rStyle w:val="CharStyle3"/>
        </w:rPr>
        <w:t xml:space="preserve"> the AU Commission for its continued engagement in support of the peace efforts in the CAR, including its mobilization of funding for the implementation of the PAPR; in this respect, </w:t>
      </w:r>
      <w:r>
        <w:rPr>
          <w:rStyle w:val="CharStyle3"/>
          <w:b/>
          <w:bCs/>
        </w:rPr>
        <w:t xml:space="preserve">expresses </w:t>
      </w:r>
      <w:r>
        <w:rPr>
          <w:rStyle w:val="CharStyle3"/>
        </w:rPr>
        <w:t xml:space="preserve">appreciation for the commitment and support provided by the European Union (EU) towards the implementation of the Agreement; therefore, </w:t>
      </w:r>
      <w:r>
        <w:rPr>
          <w:rStyle w:val="CharStyle3"/>
          <w:b/>
          <w:bCs/>
          <w:i/>
          <w:iCs/>
          <w:sz w:val="22"/>
          <w:szCs w:val="22"/>
        </w:rPr>
        <w:t>requests</w:t>
      </w:r>
      <w:r>
        <w:rPr>
          <w:rStyle w:val="CharStyle3"/>
        </w:rPr>
        <w:t xml:space="preserve"> the AU Commis</w:t>
        <w:softHyphen/>
        <w:t>sion to continue its efforts in mobilizing resources to ensure the restoration of peace, security and stability in the CAR;</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i/>
          <w:iCs/>
          <w:sz w:val="22"/>
          <w:szCs w:val="22"/>
        </w:rPr>
        <w:t>Reiterates its appeals</w:t>
      </w:r>
      <w:r>
        <w:rPr>
          <w:rStyle w:val="CharStyle3"/>
        </w:rPr>
        <w:t xml:space="preserve"> to AU Member States, as well as the larger international community, to continue providing financial, logistical and other relevant forms of support to the peace efforts in the CAR, given the prospect that the return of peace in the CAR will foster development in the country and also in the region;</w:t>
      </w:r>
    </w:p>
    <w:p>
      <w:pPr>
        <w:pStyle w:val="Style2"/>
        <w:keepNext w:val="0"/>
        <w:keepLines w:val="0"/>
        <w:widowControl w:val="0"/>
        <w:numPr>
          <w:ilvl w:val="0"/>
          <w:numId w:val="1"/>
        </w:numPr>
        <w:shd w:val="clear" w:color="auto" w:fill="auto"/>
        <w:tabs>
          <w:tab w:pos="725" w:val="left"/>
        </w:tabs>
        <w:bidi w:val="0"/>
        <w:spacing w:before="0" w:line="259" w:lineRule="auto"/>
        <w:ind w:left="0" w:right="0" w:firstLine="0"/>
        <w:jc w:val="both"/>
        <w:rPr>
          <w:sz w:val="24"/>
          <w:szCs w:val="24"/>
        </w:rPr>
      </w:pPr>
      <w:r>
        <w:rPr>
          <w:rStyle w:val="CharStyle3"/>
        </w:rPr>
        <w:t xml:space="preserve">Taking into account the strategic role of the AU, which is a Guarantor to the PAPR, in the efforts to restore peace in the CAR, </w:t>
      </w:r>
      <w:r>
        <w:rPr>
          <w:rStyle w:val="CharStyle3"/>
          <w:b/>
          <w:bCs/>
          <w:i/>
          <w:iCs/>
          <w:sz w:val="22"/>
          <w:szCs w:val="22"/>
        </w:rPr>
        <w:t>authorizes</w:t>
      </w:r>
      <w:r>
        <w:rPr>
          <w:rStyle w:val="CharStyle3"/>
        </w:rPr>
        <w:t xml:space="preserve"> the AU Commission to deploy support, especially financial resources as sourced from the EU, in accordance with the thrust in the "Report on the Resource Mobilization Process in Support of the AU Efforts for the Implementation of the Political Agreement for Peace and Reconciliation in the CAR and its Annex", presented to this meeting; in this context, </w:t>
      </w:r>
      <w:r>
        <w:rPr>
          <w:rStyle w:val="CharStyle3"/>
          <w:b/>
          <w:bCs/>
          <w:i/>
          <w:iCs/>
          <w:sz w:val="22"/>
          <w:szCs w:val="22"/>
        </w:rPr>
        <w:t>requests</w:t>
      </w:r>
      <w:r>
        <w:rPr>
          <w:rStyle w:val="CharStyle3"/>
        </w:rPr>
        <w:t xml:space="preserve"> the AU Commission to provide regular reports, at least every three months, </w:t>
      </w:r>
      <w:r>
        <w:rPr>
          <w:rStyle w:val="CharStyle3"/>
          <w:sz w:val="24"/>
          <w:szCs w:val="24"/>
        </w:rPr>
        <w:t>on the implementation of this Agreement, to enable Council to take the necessary decisions as the circumstances on the ground may demand;</w:t>
      </w:r>
    </w:p>
    <w:p>
      <w:pPr>
        <w:pStyle w:val="Style2"/>
        <w:keepNext w:val="0"/>
        <w:keepLines w:val="0"/>
        <w:widowControl w:val="0"/>
        <w:numPr>
          <w:ilvl w:val="0"/>
          <w:numId w:val="1"/>
        </w:numPr>
        <w:shd w:val="clear" w:color="auto" w:fill="auto"/>
        <w:tabs>
          <w:tab w:pos="710" w:val="left"/>
        </w:tabs>
        <w:bidi w:val="0"/>
        <w:spacing w:before="0" w:after="0" w:line="240" w:lineRule="auto"/>
        <w:ind w:left="0" w:right="0" w:firstLine="0"/>
        <w:jc w:val="left"/>
        <w:rPr>
          <w:sz w:val="24"/>
          <w:szCs w:val="24"/>
        </w:rPr>
      </w:pPr>
      <w:r>
        <w:rPr>
          <w:rStyle w:val="CharStyle3"/>
          <w:b/>
          <w:bCs/>
          <w:i/>
          <w:iCs/>
          <w:sz w:val="24"/>
          <w:szCs w:val="24"/>
        </w:rPr>
        <w:t>Decides</w:t>
      </w:r>
      <w:r>
        <w:rPr>
          <w:rStyle w:val="CharStyle3"/>
          <w:sz w:val="24"/>
          <w:szCs w:val="24"/>
        </w:rPr>
        <w:t xml:space="preserve"> to remain actively seized of the situation in CAR.</w:t>
      </w:r>
    </w:p>
    <w:sectPr>
      <w:footnotePr>
        <w:pos w:val="pageBottom"/>
        <w:numFmt w:val="decimal"/>
        <w:numRestart w:val="continuous"/>
      </w:footnotePr>
      <w:pgSz w:w="11900" w:h="16840"/>
      <w:pgMar w:top="1500" w:right="1117" w:bottom="1816" w:left="12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