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E0" w:rsidRPr="004D08E0" w:rsidRDefault="004D08E0" w:rsidP="004D08E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changements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anticonstitutionnels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gouvernement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D08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CADHP/Rés.515(LXX)</w:t>
      </w:r>
    </w:p>
    <w:p w:rsidR="00645EB3" w:rsidRPr="004D08E0" w:rsidRDefault="004D08E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D08E0">
        <w:rPr>
          <w:rFonts w:cstheme="minorHAnsi"/>
          <w:color w:val="231F20"/>
          <w:sz w:val="23"/>
          <w:szCs w:val="23"/>
          <w:shd w:val="clear" w:color="auto" w:fill="FFFFFF"/>
        </w:rPr>
        <w:t>Mar 25, 2022</w:t>
      </w:r>
    </w:p>
    <w:p w:rsidR="004D08E0" w:rsidRPr="004D08E0" w:rsidRDefault="004D08E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70ème Session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virtuellement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23 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février</w:t>
      </w:r>
      <w:proofErr w:type="spellEnd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09 mars </w:t>
      </w:r>
      <w:proofErr w:type="gram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2022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3(f) et (h)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) qui stipule que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(UA)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4(m) et (p)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énonce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 respect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droit et de la bonne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30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accèdent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autorisés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1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adopter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pour donner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y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articles 2, 3, 5, 23, 24, 25 et </w:t>
      </w:r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26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articles 1, 2, 3, 6, 7, 9 et 45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CEDEAO sur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la bonne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complémentaire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maintien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aspirations 4 et 6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2063,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vise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vivant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qu’une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axé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sur les populations,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s’appuie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potentiel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populations,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femmes et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jeunes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qui se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soucie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d’Alger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AHG/142 (XXXV)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1999 sur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Lomé AHG/Decl.5 (XXXVI)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2000 sur le cadre pour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et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2003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stipulés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CADHP/Res.213 (LI) 2012 sur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2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2012,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tentatives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d’instauration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autocratiques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qu’elle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considère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menace grave pour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Gravement</w:t>
      </w:r>
      <w:proofErr w:type="spellEnd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résurgence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par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coups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la prolongation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travers les adoptions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d’amendements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Constitutions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parti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candidat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vainqueur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situation qui a un impact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négatif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durable et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continent ;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Déplorant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coups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Mali,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-Conakry, au Burkina Faso, au Soudan et la tentative de coup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Guinée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-Bissau,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entraîné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vies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violation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droit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joignant</w:t>
      </w:r>
      <w:proofErr w:type="spellEnd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à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ferme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(CER),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(MR) et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rappeler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de respecter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droit et la bonne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que la prise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la force par tout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civils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contraire aux dispositions des articles 13 (1)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20 (1)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récents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coups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avec les pays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un retour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l’ordre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jouer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central,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travaillant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pour assurer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rapide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crises,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Lomé,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interdisent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prolongation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mandats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d’amendements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Constitutions, et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refus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parti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candidat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vainqueur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justes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s’attaqueraient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causes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profondes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déclencheurs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d’instaurer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culture de respect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droit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cohérente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instruments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l’Agenda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2063;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s’attaquer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fléau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précoce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lastRenderedPageBreak/>
        <w:t>prévention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7. 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respecter et à se conformer aux dispositions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la bonne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8. </w:t>
      </w:r>
      <w:proofErr w:type="spellStart"/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l’ont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pas encore fait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d’intégrer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la bonne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9. </w:t>
      </w:r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reléguer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l’ère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changements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anticonstitutionnels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 passé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favoriser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l’instauration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climat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l’épanouissement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10. </w:t>
      </w:r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Invite</w:t>
      </w:r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 les institutions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, les organisations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à intensifier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national,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régional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continental,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culture de respect des droits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droit,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que de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cohérente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détenteurs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D08E0">
        <w:rPr>
          <w:rFonts w:asciiTheme="minorHAnsi" w:hAnsiTheme="minorHAnsi" w:cstheme="minorHAnsi"/>
          <w:color w:val="53575A"/>
          <w:sz w:val="23"/>
          <w:szCs w:val="23"/>
        </w:rPr>
        <w:t>d’obligations</w:t>
      </w:r>
      <w:proofErr w:type="spellEnd"/>
      <w:r w:rsidRPr="004D08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D08E0" w:rsidRPr="004D08E0" w:rsidRDefault="004D08E0" w:rsidP="004D08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D08E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           Fait le 9 mars 2022</w:t>
      </w:r>
    </w:p>
    <w:p w:rsidR="004D08E0" w:rsidRDefault="004D08E0"/>
    <w:sectPr w:rsidR="004D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0"/>
    <w:rsid w:val="004D08E0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D7A73"/>
  <w15:chartTrackingRefBased/>
  <w15:docId w15:val="{A96E8C47-4DA7-4A57-B08F-58CA325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8E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D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D08E0"/>
    <w:rPr>
      <w:b/>
      <w:bCs/>
    </w:rPr>
  </w:style>
  <w:style w:type="character" w:styleId="Emphasis">
    <w:name w:val="Emphasis"/>
    <w:basedOn w:val="DefaultParagraphFont"/>
    <w:uiPriority w:val="20"/>
    <w:qFormat/>
    <w:rsid w:val="004D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2023-04-28T05:01:00Z</dcterms:created>
  <dcterms:modified xsi:type="dcterms:W3CDTF">2023-04-28T05:02:00Z</dcterms:modified>
</cp:coreProperties>
</file>