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AB" w:rsidRPr="00C77FAB" w:rsidRDefault="00C77FAB" w:rsidP="00C77FA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C77F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77F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C77F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C77F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77F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77F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77F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C77F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77F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soudan</w:t>
      </w:r>
      <w:proofErr w:type="spellEnd"/>
      <w:r w:rsidRPr="00C77F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C77F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sud</w:t>
      </w:r>
      <w:proofErr w:type="spellEnd"/>
      <w:r w:rsidRPr="00C77FA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CADHP/Rés.542 (LXXIII) 2022</w:t>
      </w:r>
    </w:p>
    <w:p w:rsidR="00DF31CE" w:rsidRPr="00C77FAB" w:rsidRDefault="00C77FA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C77FAB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C77FAB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C77FAB" w:rsidRPr="00C77FAB" w:rsidRDefault="00C77FA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73</w:t>
      </w:r>
      <w:proofErr w:type="gram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ème  Session</w:t>
      </w:r>
      <w:proofErr w:type="gram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Banjul,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du 20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2022 ;</w:t>
      </w:r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l’esprit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23 de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 droit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 ; les articles 10 et 11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prévoient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 droit à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la protection des femmes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situations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 ;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justice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(UA)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l'Étude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sur la justice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JT), qui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contiennent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points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autorité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de la Commission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justice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précédentes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CADHP/Res.428 (LXV) </w:t>
      </w:r>
      <w:proofErr w:type="gram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2019 ;</w:t>
      </w:r>
      <w:proofErr w:type="gram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son Communiqué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daté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12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2018 sur les violations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communiqués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développements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connexes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05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2019, du 21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2020 et du 24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juin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2020 ;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communiqués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pertinents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l'Autorité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intergouvernementale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(IGAD) ;</w:t>
      </w:r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porte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première de la promotion et de la protection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population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génocide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les crimes de guerre,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nettoyage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ethnique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les crimes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l'humanité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du droit international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forces ;</w:t>
      </w:r>
      <w:proofErr w:type="gramEnd"/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si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justice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prévus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chapitre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V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revitalisé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 R-ARCSS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Accord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revitalisé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), à savoir la Commission pour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vérité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réconciliation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guérison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(CTRH),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l'Autorité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compensation et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réparation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(CRA) et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Cour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hybride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pour le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(HCSS),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n'ont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place,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surveiller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 </w:t>
      </w:r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chapitre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V de Accord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revitalisé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d'union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revitalisé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(R-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TGoNU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)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avec la Commission pour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place des institutions de justice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gram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CTRH ;</w:t>
      </w:r>
      <w:proofErr w:type="gramEnd"/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important que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jouer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Commission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conjointe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d'évaluation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reconstituée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(R-JMEC) et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vérification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cessez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-le-feu et des arrangements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transitoires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(CTSAMVM)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revitalisé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C77FAB">
        <w:rPr>
          <w:rFonts w:asciiTheme="minorHAnsi" w:hAnsiTheme="minorHAnsi" w:cstheme="minorHAnsi"/>
          <w:color w:val="53575A"/>
          <w:sz w:val="23"/>
          <w:szCs w:val="23"/>
        </w:rPr>
        <w:br/>
        <w:t>    </w:t>
      </w:r>
      <w:r w:rsidRPr="00C77FAB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permanente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l'IGAD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le Haut-Commissariat des Nations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(HCDH), la </w:t>
      </w:r>
      <w:r w:rsidRPr="00C77FAB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Commission sur les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(CHRSS)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établie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et la Mission des Nations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(MINUS), y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division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Se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félicitant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progrès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accomplis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revitalisé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formation,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malgré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retards,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d'union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transition (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TGoNU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), la nomination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gouverneurs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gouverneurs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adjoints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la reconstitution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l'Assemblée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législative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transition, et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la formation de forces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armées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unifiées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chapitre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II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revitalisé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l’achèvement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récent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la formation d’un premier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20 000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l'armée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de la police et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forces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unifiées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note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l'entente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parties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l’Accord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revitalisé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annoncée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 4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2022, sur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feuille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route qui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prolonge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transition de 24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tout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d'utiliser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prolongation de 24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ouvrir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l'espace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adopter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électorale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établir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électoral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inclusif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faire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avancer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d'élaboration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constitution </w:t>
      </w:r>
      <w:proofErr w:type="spellStart"/>
      <w:proofErr w:type="gram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permanente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Soulignant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pour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ministère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la Justice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que les consultations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la CTRH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inclusives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rédiger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relative à la CTRH et à la </w:t>
      </w:r>
      <w:proofErr w:type="gram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CRA ;</w:t>
      </w:r>
      <w:proofErr w:type="gramEnd"/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Encourageant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lutter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violence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sexiste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violence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sexuelle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liée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l'impunité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généralisée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Déplorant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violations continues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abus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subis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peuple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ciblage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délibéré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civils,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femmes et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les viols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collectifs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torture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la famine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provoquée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recrutement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l'utilisation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d'enfants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soldats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enlèvements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disparitions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forcées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Déplorant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droits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l'alimentation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gram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santé ;</w:t>
      </w:r>
      <w:proofErr w:type="gramEnd"/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Vivement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entraves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l'aide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retards, droits et taxes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injustifiés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que par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d'intimidation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travailleurs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meurtres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rétrécissement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l'espace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civique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attestent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signalés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d’arrestation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manifestants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77FAB" w:rsidRPr="00C77FAB" w:rsidRDefault="00C77FAB" w:rsidP="00C77FAB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C77FAB">
        <w:rPr>
          <w:rFonts w:asciiTheme="minorHAnsi" w:hAnsiTheme="minorHAnsi" w:cstheme="minorHAnsi"/>
          <w:color w:val="53575A"/>
          <w:sz w:val="23"/>
          <w:szCs w:val="23"/>
        </w:rPr>
        <w:t>La Commission :  </w:t>
      </w:r>
      <w:r w:rsidRPr="00C77FA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1.Condamne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du droit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international au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ciblage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délibéré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représailles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civils,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femmes et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  </w:t>
      </w:r>
      <w:r w:rsidRPr="00C77FA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2.Appelle à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place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l'habilitation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garantie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pour assurer la surveillance,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l’établissement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rapports,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l’ouverture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d’enquêtes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allégués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l’engagement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poursuites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l’encontre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réformes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remédier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violations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affectant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population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femmes et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  </w:t>
      </w:r>
      <w:r w:rsidRPr="00C77FAB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C77FAB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3.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urgentes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pour que les services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mettent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fin au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l'intimidation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organisations de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travailleurs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qu'aux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font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l'objet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aux violations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l'encontre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civils, y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sexuelles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celles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liées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et aux restrictions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indues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d'opinion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d'expression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hors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ligne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réunion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d'association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C77FA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4.Exhorte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d'unité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redynamisé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concernées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accélérer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revitalisé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rendant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opérationnelles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institutions de justice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envisagées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chapitre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V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revitalisé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C77FA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5.Exhorte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cet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égard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provisoire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d'unité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nationale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redynamisé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travailler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avec la Commission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 cadre de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428 de la CADHP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d'identifier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modalités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réalisables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l'opérationnalisation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éléments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chapitre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V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l'accord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C77FA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6.Demande au Rapporteur pays pour le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collaborer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avec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la Commission sur les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(CHRSS) pour la surveillance des droits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suivi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428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 cadre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paragraphe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5 ci-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dessus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  </w:t>
      </w:r>
      <w:r w:rsidRPr="00C77FA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7.Exhorte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complet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sûr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sans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entrave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du personnel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secours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aux millions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d’assistance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C77FAB">
        <w:rPr>
          <w:rFonts w:asciiTheme="minorHAnsi" w:hAnsiTheme="minorHAnsi" w:cstheme="minorHAnsi"/>
          <w:color w:val="53575A"/>
          <w:sz w:val="23"/>
          <w:szCs w:val="23"/>
        </w:rPr>
        <w:br/>
        <w:t xml:space="preserve">8.Demande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instamment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extérieurs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continuer à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tout le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soutien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nécessaire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au Soudan du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de justice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transitionnelle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redevabilité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réconciliation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guérison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77FAB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C77FAB">
        <w:rPr>
          <w:rFonts w:asciiTheme="minorHAnsi" w:hAnsiTheme="minorHAnsi" w:cstheme="minorHAnsi"/>
          <w:color w:val="53575A"/>
          <w:sz w:val="23"/>
          <w:szCs w:val="23"/>
        </w:rPr>
        <w:t xml:space="preserve"> avec la CUA et la Commission.</w:t>
      </w:r>
    </w:p>
    <w:p w:rsidR="00C77FAB" w:rsidRPr="00C77FAB" w:rsidRDefault="00C77FAB" w:rsidP="00C77FAB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C77F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C77F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77F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77F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77F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9 </w:t>
      </w:r>
      <w:proofErr w:type="spellStart"/>
      <w:r w:rsidRPr="00C77F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77FA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C77FAB" w:rsidRDefault="00C77FAB"/>
    <w:sectPr w:rsidR="00C77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AB"/>
    <w:rsid w:val="00C77FAB"/>
    <w:rsid w:val="00D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ECBB68"/>
  <w15:chartTrackingRefBased/>
  <w15:docId w15:val="{398C20CA-8393-432C-A0CA-786BC0CC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7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FA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C7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C7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77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2023-06-01T10:25:00Z</dcterms:created>
  <dcterms:modified xsi:type="dcterms:W3CDTF">2023-06-01T10:27:00Z</dcterms:modified>
</cp:coreProperties>
</file>