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77" w:rsidRPr="00924977" w:rsidRDefault="00924977" w:rsidP="0092497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9249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9249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Promotion et la Protection des droits des </w:t>
      </w:r>
      <w:proofErr w:type="spellStart"/>
      <w:r w:rsidRPr="009249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9249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249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intersexuées</w:t>
      </w:r>
      <w:proofErr w:type="spellEnd"/>
      <w:r w:rsidRPr="009249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249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9249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9249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924977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CADHP-Res.552 (LXXIV) 2023</w:t>
      </w:r>
    </w:p>
    <w:p w:rsidR="00C85F5E" w:rsidRPr="00924977" w:rsidRDefault="00924977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924977">
        <w:rPr>
          <w:rFonts w:cstheme="minorHAnsi"/>
          <w:color w:val="231F20"/>
          <w:sz w:val="23"/>
          <w:szCs w:val="23"/>
          <w:shd w:val="clear" w:color="auto" w:fill="FFFFFF"/>
        </w:rPr>
        <w:t>Mar 21, 2023</w:t>
      </w:r>
    </w:p>
    <w:p w:rsidR="00924977" w:rsidRPr="00924977" w:rsidRDefault="00924977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74ème Session </w:t>
      </w:r>
      <w:proofErr w:type="spellStart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tenue </w:t>
      </w:r>
      <w:proofErr w:type="spellStart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21 </w:t>
      </w:r>
      <w:proofErr w:type="spellStart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7 Mars </w:t>
      </w:r>
      <w:proofErr w:type="gramStart"/>
      <w:r w:rsidRPr="00924977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2023 :</w:t>
      </w:r>
      <w:proofErr w:type="gramEnd"/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2 de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interdit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forme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discrimination à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l’égard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fondée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sur la race,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l’appartenance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ethnique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couleur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sexe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la langue, la religion,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l’opinion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l’origine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la fortune, la naissance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situation;</w:t>
      </w:r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3 de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accorde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égale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protection de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et que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5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la reconnaissance de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personnalité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juridique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l’interdiction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16 de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jouir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meilleur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santé physique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mentale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possible, et que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9 de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le droit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à son dossier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antécédents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médicaux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92497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5 du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aux droits des femmes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21 de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droits et du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l’enfant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interdisent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sociales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culturelles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néfastes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nées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naturellement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anomalie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chromosomique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anatomie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reproductive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qui ne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semble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correspondre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définitions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typiques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la femme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existent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sociétés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92497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l’intersexualité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un handicap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inhérent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à la naissance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qu’il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n’y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 pas lieu de le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considérer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tabou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sociétés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92497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chirurgicaux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normalisation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génitale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consensuels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inutiles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pratiqués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sur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un cadre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médical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causer chez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-ci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traumatismes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physiques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psychologiques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à vie,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stérilité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permanente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l’incontinence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plaisir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sexuel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>,;</w:t>
      </w:r>
      <w:proofErr w:type="gramEnd"/>
      <w:r w:rsidRPr="0092497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chirurgicaux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normalisation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génitale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non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consentis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inutiles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susmentionnés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irréversibles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similaires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aux mutilations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génitales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considérés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par les violations des droits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l’encontre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comprennent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rejet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l’infanticide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l’abandon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reconnaissance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légale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appropriée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administratifs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empêchent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d'acquérir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documents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d'identité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les modifier; la discrimination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injuste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écoles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établissements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santé, les sports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compétition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le travail;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aux services publics; et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lastRenderedPageBreak/>
        <w:t>Préoccupée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l’invisibilité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conscience et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au sort et à la situation critique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924977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reconnaitre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les droits, devoirs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adoptant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donner </w:t>
      </w:r>
      <w:proofErr w:type="spellStart"/>
      <w:proofErr w:type="gram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plupart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parties ne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disposent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pas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à assurer la protection des droits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gram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924977" w:rsidRPr="00924977" w:rsidRDefault="00924977" w:rsidP="00924977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1.Promouvoir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les droits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continent; </w:t>
      </w:r>
      <w:r w:rsidRPr="00924977">
        <w:rPr>
          <w:rFonts w:asciiTheme="minorHAnsi" w:hAnsiTheme="minorHAnsi" w:cstheme="minorHAnsi"/>
          <w:color w:val="53575A"/>
          <w:sz w:val="23"/>
          <w:szCs w:val="23"/>
        </w:rPr>
        <w:br/>
        <w:t xml:space="preserve">2.Mettre un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normalisation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génitale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consenties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que les interventions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chirurgicales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hormonales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stérilisation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modifient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caractéristiques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le respect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droits à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intégrité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corporelle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autonomie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physique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autodétermination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924977">
        <w:rPr>
          <w:rFonts w:asciiTheme="minorHAnsi" w:hAnsiTheme="minorHAnsi" w:cstheme="minorHAnsi"/>
          <w:color w:val="53575A"/>
          <w:sz w:val="23"/>
          <w:szCs w:val="23"/>
        </w:rPr>
        <w:br/>
        <w:t xml:space="preserve">3.Veiller à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action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mineur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soit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menée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l’autorisation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parents et après analyse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médicale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tenant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strictement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l’intérêt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supérieur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l’enfant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> ; </w:t>
      </w:r>
      <w:r w:rsidRPr="00924977">
        <w:rPr>
          <w:rFonts w:asciiTheme="minorHAnsi" w:hAnsiTheme="minorHAnsi" w:cstheme="minorHAnsi"/>
          <w:color w:val="53575A"/>
          <w:sz w:val="23"/>
          <w:szCs w:val="23"/>
        </w:rPr>
        <w:br/>
        <w:t xml:space="preserve">4.Mettre un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aux violations des droits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l'infanticide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l'abandon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924977">
        <w:rPr>
          <w:rFonts w:asciiTheme="minorHAnsi" w:hAnsiTheme="minorHAnsi" w:cstheme="minorHAnsi"/>
          <w:color w:val="53575A"/>
          <w:sz w:val="23"/>
          <w:szCs w:val="23"/>
        </w:rPr>
        <w:br/>
        <w:t xml:space="preserve">5.Interdire la discrimination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fondée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caractères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caractéristiques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la situation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d’intersexualité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d'éducation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de santé,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d'emploi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de sports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compétition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d’'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aux services publics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traiter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discrimination par des initiatives anti-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discriminatoires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;  </w:t>
      </w:r>
      <w:r w:rsidRPr="00924977">
        <w:rPr>
          <w:rFonts w:asciiTheme="minorHAnsi" w:hAnsiTheme="minorHAnsi" w:cstheme="minorHAnsi"/>
          <w:color w:val="53575A"/>
          <w:sz w:val="23"/>
          <w:szCs w:val="23"/>
        </w:rPr>
        <w:br/>
        <w:t xml:space="preserve">6.Veiller à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 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travaillent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exempt de stigmatisation,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poursuites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pénales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raison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protection des droits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924977">
        <w:rPr>
          <w:rFonts w:asciiTheme="minorHAnsi" w:hAnsiTheme="minorHAnsi" w:cstheme="minorHAnsi"/>
          <w:color w:val="53575A"/>
          <w:sz w:val="23"/>
          <w:szCs w:val="23"/>
        </w:rPr>
        <w:br/>
        <w:t xml:space="preserve">7.Inclure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d’intersexualité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les services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conseils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prénataux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au personnel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soignant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formation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axée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santé et les droits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conseils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soins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appropriés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à donner aux parents et aux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le respect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l'autonomie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l'intégrité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́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psychologique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caractéristiques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  <w:r w:rsidRPr="00924977">
        <w:rPr>
          <w:rFonts w:asciiTheme="minorHAnsi" w:hAnsiTheme="minorHAnsi" w:cstheme="minorHAnsi"/>
          <w:color w:val="53575A"/>
          <w:sz w:val="23"/>
          <w:szCs w:val="23"/>
        </w:rPr>
        <w:br/>
        <w:t xml:space="preserve">8.Adopter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d’habilitation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institutionnaliser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administratifs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permettant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modifier les mentions du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sexe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certificats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naissance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documents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officiels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sur la base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prise par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intervention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médicale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924977">
        <w:rPr>
          <w:rFonts w:asciiTheme="minorHAnsi" w:hAnsiTheme="minorHAnsi" w:cstheme="minorHAnsi"/>
          <w:color w:val="53575A"/>
          <w:sz w:val="23"/>
          <w:szCs w:val="23"/>
        </w:rPr>
        <w:br/>
        <w:t xml:space="preserve">9.Assurer aux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le droit à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information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complète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dossiers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antécédents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médicaux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924977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10.Veiller à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que les violations des droits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l’encontre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fassent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l'objet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d'enquête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que les auteurs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présumés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poursuivis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que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aient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recours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effectifs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réparation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l’indemnisation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924977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11. Sensibiliser la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aux questions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d'intersexualité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qu'aux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droits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>; et </w:t>
      </w:r>
      <w:r w:rsidRPr="00924977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12.S’assurer que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l’appareil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les agents des services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d'immigration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les agents chargés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la santé,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fonctionnaires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personnels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sensibilisés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au respect et à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l’égalité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924977">
        <w:rPr>
          <w:rFonts w:asciiTheme="minorHAnsi" w:hAnsiTheme="minorHAnsi" w:cstheme="minorHAnsi"/>
          <w:color w:val="53575A"/>
          <w:sz w:val="23"/>
          <w:szCs w:val="23"/>
        </w:rPr>
        <w:t>intersexuées</w:t>
      </w:r>
      <w:proofErr w:type="spellEnd"/>
      <w:r w:rsidRPr="00924977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924977" w:rsidRPr="00924977" w:rsidRDefault="00924977" w:rsidP="00924977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9249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9249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924977">
        <w:rPr>
          <w:rStyle w:val="Strong"/>
          <w:rFonts w:asciiTheme="minorHAnsi" w:hAnsiTheme="minorHAnsi" w:cstheme="minorHAnsi"/>
          <w:color w:val="53575A"/>
          <w:sz w:val="23"/>
          <w:szCs w:val="23"/>
        </w:rPr>
        <w:t>, le 07 mars 2023</w:t>
      </w:r>
    </w:p>
    <w:p w:rsidR="00924977" w:rsidRDefault="00924977"/>
    <w:sectPr w:rsidR="00924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77"/>
    <w:rsid w:val="00924977"/>
    <w:rsid w:val="00C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165964"/>
  <w15:chartTrackingRefBased/>
  <w15:docId w15:val="{514FC8EF-EEE1-4757-BDE6-F9FE3456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4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97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92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924977"/>
    <w:rPr>
      <w:i/>
      <w:iCs/>
    </w:rPr>
  </w:style>
  <w:style w:type="paragraph" w:customStyle="1" w:styleId="text-align-right">
    <w:name w:val="text-align-right"/>
    <w:basedOn w:val="Normal"/>
    <w:rsid w:val="0092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924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2023-05-31T10:01:00Z</dcterms:created>
  <dcterms:modified xsi:type="dcterms:W3CDTF">2023-05-31T10:03:00Z</dcterms:modified>
</cp:coreProperties>
</file>