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CC" w:rsidRPr="003B01CC" w:rsidRDefault="003B01CC" w:rsidP="003B01C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Promoção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intersexuais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3B01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CADHP-Res.552 (LXXIV) 2023</w:t>
      </w:r>
    </w:p>
    <w:p w:rsidR="0038537B" w:rsidRPr="003B01CC" w:rsidRDefault="003B01C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3B01CC">
        <w:rPr>
          <w:rFonts w:cstheme="minorHAnsi"/>
          <w:color w:val="231F20"/>
          <w:sz w:val="23"/>
          <w:szCs w:val="23"/>
          <w:shd w:val="clear" w:color="auto" w:fill="FFFFFF"/>
        </w:rPr>
        <w:t>Mar 21, 2023</w:t>
      </w:r>
    </w:p>
    <w:p w:rsidR="003B01CC" w:rsidRPr="003B01CC" w:rsidRDefault="003B01C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74ª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21 de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07 de </w:t>
      </w:r>
      <w:proofErr w:type="spellStart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3B01C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45:º</w:t>
      </w:r>
      <w:proofErr w:type="gram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Africana).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2.o da Carta Africana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proíbe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motivos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raça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etnia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sexo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língua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religião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opinião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outra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opinião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origem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social,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fortuna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nascimento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outra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3.o da Carta Africana concede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igual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5.o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personalidade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jurídica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proibição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cruel,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desumano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proofErr w:type="gram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degradante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Notando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16.º da Carta Africana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gozo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alto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padrão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mental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alcançável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9.º da Carta Africana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registos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médicos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história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5.o do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21.o da Carta Africana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proíbem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prejudiciais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nascem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naturalmente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anomalia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cromossómica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anatomia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reprodutiva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sexual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parece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enquadrar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definições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típicas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feminino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masculino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existem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sociedades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intersexualidade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é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inerente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nascimento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deve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considerada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tabu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cirúrgicos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consensuais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desnecessários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normalização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genital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realizados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médico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outro,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causar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traumas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físicos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psicológicos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longo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infertilidade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incontinência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perda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prazer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sexual, entre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coisas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acima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mencionados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cirúrgicos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consensuais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desnecessários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normalização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genital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irreversíveis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semelhantes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mutilação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genital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considerados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incluem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mas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limitam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rejeição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infanticídio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abandono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jurídico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adequado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administrativos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impedem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adquirir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alterar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identidade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injusta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escolas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instalações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desportos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competitivos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;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invisibilidade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consciência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sensibilidade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africanas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lastRenderedPageBreak/>
        <w:t>Relembrando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reconhecer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deveres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pela Carta Africana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tornar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efectivos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Observando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maioria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dispõe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adequadas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para:</w:t>
      </w:r>
    </w:p>
    <w:p w:rsidR="003B01CC" w:rsidRPr="003B01CC" w:rsidRDefault="003B01CC" w:rsidP="003B01CC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1.Promover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2.Acabar com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normalização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genital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consensual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cirúrgicos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hormonais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esterilização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alteram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características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próprias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relativamente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integridade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corporal,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autonomia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autodeterminação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3.Assegurar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um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menor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autorização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análise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médica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estritamente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interesse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superior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4.Acabar com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intersex,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infanticídio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abandono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intersex;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5.Proibir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traços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características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intersexual,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emprego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desporto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competição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abordar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iniciativas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anti-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relevantes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  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6.Assegurar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trabalhem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livre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estigmatização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represálias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criminais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devido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domínio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7.Incluir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intersexualidade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aconselhamento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pré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-natal,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proporcionar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formação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pessoal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centrada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aconselhamento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cuidados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adequados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respeitando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autonomia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integridade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psicológica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características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intersexual; 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8.Adoptar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legislação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permita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institucionalizar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administrativos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permitam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mudar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sexo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certidões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nascimento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oficiais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intervenção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médica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9.Assegurar que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completa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próprios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registos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médicos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historial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10.Garantir que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contra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investigadas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autores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processados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que 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tenham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eficazes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compensação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11.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Aumentar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consciência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; e</w:t>
      </w:r>
      <w:r w:rsidRPr="003B01CC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12.Assegurar -se que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magistratura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funcionários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imigração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funcionários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responsáveis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 lei,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outros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funcionários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pessoal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sensibilizados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Fonts w:asciiTheme="minorHAnsi" w:hAnsiTheme="minorHAnsi" w:cstheme="minorHAnsi"/>
          <w:color w:val="53575A"/>
          <w:sz w:val="23"/>
          <w:szCs w:val="23"/>
        </w:rPr>
        <w:t>intersexuais</w:t>
      </w:r>
      <w:proofErr w:type="spellEnd"/>
      <w:r w:rsidRPr="003B01CC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B01CC" w:rsidRPr="003B01CC" w:rsidRDefault="003B01CC" w:rsidP="003B01CC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B01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3B01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B01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3B01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a 07 de </w:t>
      </w:r>
      <w:proofErr w:type="spellStart"/>
      <w:r w:rsidRPr="003B01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3B01C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3B01CC" w:rsidRDefault="003B01CC"/>
    <w:sectPr w:rsidR="003B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CC"/>
    <w:rsid w:val="0038537B"/>
    <w:rsid w:val="003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8B30B"/>
  <w15:chartTrackingRefBased/>
  <w15:docId w15:val="{8C8379C5-7868-41C7-ACDB-3DAE1AF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1C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3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B01CC"/>
    <w:rPr>
      <w:i/>
      <w:iCs/>
    </w:rPr>
  </w:style>
  <w:style w:type="paragraph" w:customStyle="1" w:styleId="text-align-right">
    <w:name w:val="text-align-right"/>
    <w:basedOn w:val="Normal"/>
    <w:rsid w:val="003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B0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2023-05-31T10:11:00Z</dcterms:created>
  <dcterms:modified xsi:type="dcterms:W3CDTF">2023-05-31T10:12:00Z</dcterms:modified>
</cp:coreProperties>
</file>