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3"/>
        <w:jc w:val="right"/>
      </w:pPr>
      <w:r>
        <w:rPr/>
        <w:t>CM/Res.</w:t>
      </w:r>
      <w:r>
        <w:rPr>
          <w:spacing w:val="12"/>
        </w:rPr>
        <w:t> </w:t>
      </w:r>
      <w:r>
        <w:rPr/>
        <w:t>6</w:t>
      </w:r>
      <w:r>
        <w:rPr>
          <w:spacing w:val="12"/>
        </w:rPr>
        <w:t> </w:t>
      </w:r>
      <w:r>
        <w:rPr>
          <w:spacing w:val="-5"/>
        </w:rPr>
        <w:t>(I)</w:t>
      </w:r>
    </w:p>
    <w:p>
      <w:pPr>
        <w:pStyle w:val="BodyText"/>
        <w:spacing w:before="2"/>
        <w:rPr>
          <w:sz w:val="35"/>
        </w:rPr>
      </w:pPr>
    </w:p>
    <w:p>
      <w:pPr>
        <w:pStyle w:val="Title"/>
        <w:rPr>
          <w:u w:val="none"/>
        </w:rPr>
      </w:pPr>
      <w:r>
        <w:rPr>
          <w:u w:val="single"/>
        </w:rPr>
        <w:t>PORTUGUESE</w:t>
      </w:r>
      <w:r>
        <w:rPr>
          <w:spacing w:val="11"/>
          <w:u w:val="single"/>
        </w:rPr>
        <w:t> </w:t>
      </w:r>
      <w:r>
        <w:rPr>
          <w:u w:val="single"/>
        </w:rPr>
        <w:t>COLONIALISM</w:t>
      </w:r>
      <w:r>
        <w:rPr>
          <w:spacing w:val="12"/>
          <w:u w:val="single"/>
        </w:rPr>
        <w:t> </w:t>
      </w:r>
      <w:r>
        <w:rPr>
          <w:u w:val="single"/>
        </w:rPr>
        <w:t>AND</w:t>
      </w:r>
      <w:r>
        <w:rPr>
          <w:spacing w:val="12"/>
          <w:u w:val="single"/>
        </w:rPr>
        <w:t> </w:t>
      </w:r>
      <w:r>
        <w:rPr>
          <w:u w:val="single"/>
        </w:rPr>
        <w:t>APARTHEID</w:t>
      </w:r>
      <w:r>
        <w:rPr>
          <w:spacing w:val="12"/>
          <w:u w:val="single"/>
        </w:rPr>
        <w:t> </w:t>
      </w:r>
      <w:r>
        <w:rPr>
          <w:u w:val="single"/>
        </w:rPr>
        <w:t>IN</w:t>
      </w:r>
      <w:r>
        <w:rPr>
          <w:spacing w:val="12"/>
          <w:u w:val="single"/>
        </w:rPr>
        <w:t> </w:t>
      </w:r>
      <w:r>
        <w:rPr>
          <w:u w:val="single"/>
        </w:rPr>
        <w:t>SOUTH</w:t>
      </w:r>
      <w:r>
        <w:rPr>
          <w:spacing w:val="14"/>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firstLine="676"/>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First</w:t>
      </w:r>
      <w:r>
        <w:rPr>
          <w:spacing w:val="40"/>
        </w:rPr>
        <w:t> </w:t>
      </w:r>
      <w:r>
        <w:rPr/>
        <w:t>Ordinary</w:t>
      </w:r>
      <w:r>
        <w:rPr>
          <w:spacing w:val="40"/>
        </w:rPr>
        <w:t> </w:t>
      </w:r>
      <w:r>
        <w:rPr/>
        <w:t>Session</w:t>
      </w:r>
      <w:r>
        <w:rPr>
          <w:spacing w:val="40"/>
        </w:rPr>
        <w:t> </w:t>
      </w:r>
      <w:r>
        <w:rPr/>
        <w:t>in</w:t>
      </w:r>
      <w:r>
        <w:rPr>
          <w:spacing w:val="40"/>
        </w:rPr>
        <w:t> </w:t>
      </w:r>
      <w:r>
        <w:rPr/>
        <w:t>Dakar,</w:t>
      </w:r>
      <w:r>
        <w:rPr>
          <w:spacing w:val="40"/>
        </w:rPr>
        <w:t> </w:t>
      </w:r>
      <w:r>
        <w:rPr/>
        <w:t>Senegal, from 2 to 11 August 1963,</w:t>
      </w:r>
    </w:p>
    <w:p>
      <w:pPr>
        <w:pStyle w:val="BodyText"/>
        <w:spacing w:before="6"/>
        <w:rPr>
          <w:sz w:val="34"/>
        </w:rPr>
      </w:pPr>
    </w:p>
    <w:p>
      <w:pPr>
        <w:pStyle w:val="BodyText"/>
        <w:spacing w:line="369" w:lineRule="auto"/>
        <w:ind w:left="171" w:right="167"/>
        <w:jc w:val="both"/>
      </w:pPr>
      <w:r>
        <w:rPr>
          <w:b/>
          <w:u w:val="single"/>
        </w:rPr>
        <w:t>Having heard</w:t>
      </w:r>
      <w:r>
        <w:rPr>
          <w:b/>
        </w:rPr>
        <w:t> </w:t>
      </w:r>
      <w:r>
        <w:rPr/>
        <w:t>the valuable reports made by the Minister for Foreign Affairs of Tunisia and Sierra Leone on the mission delegated to them and to the Ministers of Madagascar and before the Security Council of the United Nations,</w:t>
      </w:r>
    </w:p>
    <w:p>
      <w:pPr>
        <w:pStyle w:val="BodyText"/>
        <w:spacing w:before="7"/>
        <w:rPr>
          <w:sz w:val="33"/>
        </w:rPr>
      </w:pPr>
    </w:p>
    <w:p>
      <w:pPr>
        <w:pStyle w:val="ListParagraph"/>
        <w:numPr>
          <w:ilvl w:val="0"/>
          <w:numId w:val="1"/>
        </w:numPr>
        <w:tabs>
          <w:tab w:pos="1184" w:val="left" w:leader="none"/>
        </w:tabs>
        <w:spacing w:line="369" w:lineRule="auto" w:before="0" w:after="0"/>
        <w:ind w:left="1184" w:right="161" w:hanging="336"/>
        <w:jc w:val="both"/>
        <w:rPr>
          <w:sz w:val="22"/>
        </w:rPr>
      </w:pPr>
      <w:r>
        <w:rPr>
          <w:b/>
          <w:sz w:val="22"/>
        </w:rPr>
        <w:t>CONVEYS </w:t>
      </w:r>
      <w:r>
        <w:rPr>
          <w:sz w:val="22"/>
        </w:rPr>
        <w:t>its profound gratitude to the Foreign Minister of Liberia, Madagascar, Tunisia and Sierra Leone;</w:t>
      </w:r>
    </w:p>
    <w:p>
      <w:pPr>
        <w:pStyle w:val="BodyText"/>
        <w:spacing w:before="1"/>
        <w:rPr>
          <w:sz w:val="34"/>
        </w:rPr>
      </w:pPr>
    </w:p>
    <w:p>
      <w:pPr>
        <w:pStyle w:val="ListParagraph"/>
        <w:numPr>
          <w:ilvl w:val="0"/>
          <w:numId w:val="1"/>
        </w:numPr>
        <w:tabs>
          <w:tab w:pos="1184" w:val="left" w:leader="none"/>
        </w:tabs>
        <w:spacing w:line="367" w:lineRule="auto" w:before="0" w:after="0"/>
        <w:ind w:left="1184" w:right="150" w:hanging="336"/>
        <w:jc w:val="both"/>
        <w:rPr>
          <w:sz w:val="22"/>
        </w:rPr>
      </w:pPr>
      <w:r>
        <w:rPr>
          <w:b/>
          <w:sz w:val="22"/>
        </w:rPr>
        <w:t>FURTHER CONVEYS </w:t>
      </w:r>
      <w:r>
        <w:rPr>
          <w:sz w:val="22"/>
        </w:rPr>
        <w:t>its gratitude to the members of the Security Council who supported the Afro-Asian Resolution in the Security Council on the question of Portuguese colonialism and </w:t>
      </w:r>
      <w:r>
        <w:rPr>
          <w:sz w:val="22"/>
          <w:u w:val="single"/>
        </w:rPr>
        <w:t>apartheid</w:t>
      </w:r>
      <w:r>
        <w:rPr>
          <w:sz w:val="22"/>
        </w:rPr>
        <w:t> in South Africa;</w:t>
      </w:r>
    </w:p>
    <w:p>
      <w:pPr>
        <w:pStyle w:val="BodyText"/>
        <w:spacing w:before="3"/>
        <w:rPr>
          <w:sz w:val="34"/>
        </w:rPr>
      </w:pPr>
    </w:p>
    <w:p>
      <w:pPr>
        <w:pStyle w:val="ListParagraph"/>
        <w:numPr>
          <w:ilvl w:val="0"/>
          <w:numId w:val="1"/>
        </w:numPr>
        <w:tabs>
          <w:tab w:pos="1184" w:val="left" w:leader="none"/>
        </w:tabs>
        <w:spacing w:line="369" w:lineRule="auto" w:before="0" w:after="0"/>
        <w:ind w:left="1184" w:right="150" w:hanging="336"/>
        <w:jc w:val="both"/>
        <w:rPr>
          <w:sz w:val="22"/>
        </w:rPr>
      </w:pPr>
      <w:r>
        <w:rPr>
          <w:b/>
          <w:sz w:val="22"/>
        </w:rPr>
        <w:t>DEPLORES</w:t>
      </w:r>
      <w:r>
        <w:rPr>
          <w:b/>
          <w:spacing w:val="40"/>
          <w:sz w:val="22"/>
        </w:rPr>
        <w:t> </w:t>
      </w:r>
      <w:r>
        <w:rPr>
          <w:sz w:val="22"/>
        </w:rPr>
        <w:t>the</w:t>
      </w:r>
      <w:r>
        <w:rPr>
          <w:spacing w:val="40"/>
          <w:sz w:val="22"/>
        </w:rPr>
        <w:t> </w:t>
      </w:r>
      <w:r>
        <w:rPr>
          <w:sz w:val="22"/>
        </w:rPr>
        <w:t>position</w:t>
      </w:r>
      <w:r>
        <w:rPr>
          <w:spacing w:val="40"/>
          <w:sz w:val="22"/>
        </w:rPr>
        <w:t> </w:t>
      </w:r>
      <w:r>
        <w:rPr>
          <w:sz w:val="22"/>
        </w:rPr>
        <w:t>taken</w:t>
      </w:r>
      <w:r>
        <w:rPr>
          <w:spacing w:val="40"/>
          <w:sz w:val="22"/>
        </w:rPr>
        <w:t> </w:t>
      </w:r>
      <w:r>
        <w:rPr>
          <w:sz w:val="22"/>
        </w:rPr>
        <w:t>by</w:t>
      </w:r>
      <w:r>
        <w:rPr>
          <w:spacing w:val="40"/>
          <w:sz w:val="22"/>
        </w:rPr>
        <w:t> </w:t>
      </w:r>
      <w:r>
        <w:rPr>
          <w:sz w:val="22"/>
        </w:rPr>
        <w:t>the</w:t>
      </w:r>
      <w:r>
        <w:rPr>
          <w:spacing w:val="40"/>
          <w:sz w:val="22"/>
        </w:rPr>
        <w:t> </w:t>
      </w:r>
      <w:r>
        <w:rPr>
          <w:sz w:val="22"/>
        </w:rPr>
        <w:t>delegations</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States,</w:t>
      </w:r>
      <w:r>
        <w:rPr>
          <w:spacing w:val="40"/>
          <w:sz w:val="22"/>
        </w:rPr>
        <w:t> </w:t>
      </w:r>
      <w:r>
        <w:rPr>
          <w:sz w:val="22"/>
        </w:rPr>
        <w:t>the United Kingdom and France during the debates in the Security Council, and expresses the hope that the governments concerned, in response to unanimous</w:t>
      </w:r>
      <w:r>
        <w:rPr>
          <w:spacing w:val="40"/>
          <w:sz w:val="22"/>
        </w:rPr>
        <w:t> </w:t>
      </w:r>
      <w:r>
        <w:rPr>
          <w:sz w:val="22"/>
        </w:rPr>
        <w:t>appeal of the Heads of State, will, in future, support the claims of the African peoples</w:t>
      </w:r>
      <w:r>
        <w:rPr>
          <w:spacing w:val="40"/>
          <w:sz w:val="22"/>
        </w:rPr>
        <w:t> </w:t>
      </w:r>
      <w:r>
        <w:rPr>
          <w:sz w:val="22"/>
        </w:rPr>
        <w:t>to liberty, equality and the respect of their dignity;</w:t>
      </w:r>
    </w:p>
    <w:p>
      <w:pPr>
        <w:pStyle w:val="BodyText"/>
        <w:spacing w:before="5"/>
        <w:rPr>
          <w:sz w:val="33"/>
        </w:rPr>
      </w:pPr>
    </w:p>
    <w:p>
      <w:pPr>
        <w:pStyle w:val="ListParagraph"/>
        <w:numPr>
          <w:ilvl w:val="0"/>
          <w:numId w:val="1"/>
        </w:numPr>
        <w:tabs>
          <w:tab w:pos="1184" w:val="left" w:leader="none"/>
        </w:tabs>
        <w:spacing w:line="372" w:lineRule="auto" w:before="1" w:after="0"/>
        <w:ind w:left="1184" w:right="146" w:hanging="336"/>
        <w:jc w:val="both"/>
        <w:rPr>
          <w:sz w:val="22"/>
        </w:rPr>
      </w:pPr>
      <w:r>
        <w:rPr>
          <w:b/>
          <w:sz w:val="22"/>
        </w:rPr>
        <w:t>URGES </w:t>
      </w:r>
      <w:r>
        <w:rPr>
          <w:sz w:val="22"/>
        </w:rPr>
        <w:t>the members of the international community to continue to condemn publicly the crimes of Portugal and South African perpetrated against the African </w:t>
      </w:r>
      <w:r>
        <w:rPr>
          <w:spacing w:val="-2"/>
          <w:sz w:val="22"/>
        </w:rPr>
        <w:t>peoples;</w:t>
      </w:r>
    </w:p>
    <w:p>
      <w:pPr>
        <w:pStyle w:val="BodyText"/>
        <w:spacing w:before="10"/>
        <w:rPr>
          <w:sz w:val="32"/>
        </w:rPr>
      </w:pPr>
    </w:p>
    <w:p>
      <w:pPr>
        <w:pStyle w:val="ListParagraph"/>
        <w:numPr>
          <w:ilvl w:val="0"/>
          <w:numId w:val="1"/>
        </w:numPr>
        <w:tabs>
          <w:tab w:pos="1184" w:val="left" w:leader="none"/>
        </w:tabs>
        <w:spacing w:line="372" w:lineRule="auto" w:before="0" w:after="0"/>
        <w:ind w:left="1184" w:right="145" w:hanging="336"/>
        <w:jc w:val="both"/>
        <w:rPr>
          <w:sz w:val="22"/>
        </w:rPr>
      </w:pPr>
      <w:r>
        <w:rPr>
          <w:b/>
          <w:sz w:val="22"/>
        </w:rPr>
        <w:t>DECIDES </w:t>
      </w:r>
      <w:r>
        <w:rPr>
          <w:sz w:val="22"/>
        </w:rPr>
        <w:t>to increase the vigil for the implementation of the boycott of South African and Portugal in all fields, economic and political and by all direct and indirect methods.</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77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ORDINARY SESSION OF THE COUNCIL OF MINISTERS HELD IN DAKAR, SENEGAL FROM 2 TO 11 AUGUST 1963</dc:title>
  <dcterms:created xsi:type="dcterms:W3CDTF">2023-06-06T12:52:41Z</dcterms:created>
  <dcterms:modified xsi:type="dcterms:W3CDTF">2023-06-06T12:52:41Z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