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7"/>
        <w:ind w:right="144"/>
        <w:jc w:val="right"/>
      </w:pPr>
      <w:r>
        <w:rPr/>
        <w:t>CM/Res.</w:t>
      </w:r>
      <w:r>
        <w:rPr>
          <w:spacing w:val="12"/>
        </w:rPr>
        <w:t> </w:t>
      </w:r>
      <w:r>
        <w:rPr/>
        <w:t>7</w:t>
      </w:r>
      <w:r>
        <w:rPr>
          <w:spacing w:val="12"/>
        </w:rPr>
        <w:t> </w:t>
      </w:r>
      <w:r>
        <w:rPr>
          <w:spacing w:val="-5"/>
        </w:rPr>
        <w:t>(I)</w:t>
      </w:r>
    </w:p>
    <w:p>
      <w:pPr>
        <w:pStyle w:val="BodyText"/>
        <w:spacing w:before="10"/>
        <w:rPr>
          <w:sz w:val="26"/>
        </w:rPr>
      </w:pPr>
    </w:p>
    <w:p>
      <w:pPr>
        <w:pStyle w:val="Title"/>
        <w:rPr>
          <w:u w:val="none"/>
        </w:rPr>
      </w:pPr>
      <w:r>
        <w:rPr>
          <w:u w:val="single"/>
        </w:rPr>
        <w:t>THE</w:t>
      </w:r>
      <w:r>
        <w:rPr>
          <w:spacing w:val="8"/>
          <w:u w:val="single"/>
        </w:rPr>
        <w:t> </w:t>
      </w:r>
      <w:r>
        <w:rPr>
          <w:u w:val="single"/>
        </w:rPr>
        <w:t>FURUTE</w:t>
      </w:r>
      <w:r>
        <w:rPr>
          <w:spacing w:val="8"/>
          <w:u w:val="single"/>
        </w:rPr>
        <w:t> </w:t>
      </w:r>
      <w:r>
        <w:rPr>
          <w:u w:val="single"/>
        </w:rPr>
        <w:t>OF</w:t>
      </w:r>
      <w:r>
        <w:rPr>
          <w:spacing w:val="9"/>
          <w:u w:val="single"/>
        </w:rPr>
        <w:t> </w:t>
      </w:r>
      <w:r>
        <w:rPr>
          <w:spacing w:val="-4"/>
          <w:u w:val="single"/>
        </w:rPr>
        <w:t>CCTA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BodyText"/>
        <w:spacing w:line="364" w:lineRule="auto" w:before="96"/>
        <w:ind w:left="171" w:firstLine="676"/>
      </w:pPr>
      <w:r>
        <w:rPr/>
        <w:t>The</w:t>
      </w:r>
      <w:r>
        <w:rPr>
          <w:spacing w:val="40"/>
        </w:rPr>
        <w:t> </w:t>
      </w:r>
      <w:r>
        <w:rPr/>
        <w:t>Council</w:t>
      </w:r>
      <w:r>
        <w:rPr>
          <w:spacing w:val="40"/>
        </w:rPr>
        <w:t> </w:t>
      </w:r>
      <w:r>
        <w:rPr/>
        <w:t>of</w:t>
      </w:r>
      <w:r>
        <w:rPr>
          <w:spacing w:val="40"/>
        </w:rPr>
        <w:t> </w:t>
      </w:r>
      <w:r>
        <w:rPr/>
        <w:t>Ministers</w:t>
      </w:r>
      <w:r>
        <w:rPr>
          <w:spacing w:val="40"/>
        </w:rPr>
        <w:t> </w:t>
      </w:r>
      <w:r>
        <w:rPr/>
        <w:t>meeting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its</w:t>
      </w:r>
      <w:r>
        <w:rPr>
          <w:spacing w:val="40"/>
        </w:rPr>
        <w:t> </w:t>
      </w:r>
      <w:r>
        <w:rPr/>
        <w:t>First</w:t>
      </w:r>
      <w:r>
        <w:rPr>
          <w:spacing w:val="40"/>
        </w:rPr>
        <w:t> </w:t>
      </w:r>
      <w:r>
        <w:rPr/>
        <w:t>Ordinary</w:t>
      </w:r>
      <w:r>
        <w:rPr>
          <w:spacing w:val="40"/>
        </w:rPr>
        <w:t> </w:t>
      </w:r>
      <w:r>
        <w:rPr/>
        <w:t>Session</w:t>
      </w:r>
      <w:r>
        <w:rPr>
          <w:spacing w:val="40"/>
        </w:rPr>
        <w:t> </w:t>
      </w:r>
      <w:r>
        <w:rPr/>
        <w:t>in</w:t>
      </w:r>
      <w:r>
        <w:rPr>
          <w:spacing w:val="40"/>
        </w:rPr>
        <w:t> </w:t>
      </w:r>
      <w:r>
        <w:rPr/>
        <w:t>Dakar,</w:t>
      </w:r>
      <w:r>
        <w:rPr>
          <w:spacing w:val="40"/>
        </w:rPr>
        <w:t> </w:t>
      </w:r>
      <w:r>
        <w:rPr/>
        <w:t>Senegal, from 2 to 11 August 1963,</w:t>
      </w:r>
    </w:p>
    <w:p>
      <w:pPr>
        <w:pStyle w:val="BodyText"/>
        <w:spacing w:before="6"/>
        <w:rPr>
          <w:sz w:val="34"/>
        </w:rPr>
      </w:pPr>
    </w:p>
    <w:p>
      <w:pPr>
        <w:spacing w:before="1"/>
        <w:ind w:left="848" w:right="0" w:firstLine="0"/>
        <w:jc w:val="left"/>
        <w:rPr>
          <w:sz w:val="22"/>
        </w:rPr>
      </w:pPr>
      <w:r>
        <w:rPr>
          <w:b/>
          <w:sz w:val="22"/>
          <w:u w:val="single"/>
        </w:rPr>
        <w:t>Having</w:t>
      </w:r>
      <w:r>
        <w:rPr>
          <w:b/>
          <w:spacing w:val="10"/>
          <w:sz w:val="22"/>
          <w:u w:val="single"/>
        </w:rPr>
        <w:t> </w:t>
      </w:r>
      <w:r>
        <w:rPr>
          <w:b/>
          <w:sz w:val="22"/>
          <w:u w:val="single"/>
        </w:rPr>
        <w:t>examined</w:t>
      </w:r>
      <w:r>
        <w:rPr>
          <w:b/>
          <w:spacing w:val="16"/>
          <w:sz w:val="22"/>
        </w:rPr>
        <w:t> </w:t>
      </w:r>
      <w:r>
        <w:rPr>
          <w:sz w:val="22"/>
        </w:rPr>
        <w:t>the</w:t>
      </w:r>
      <w:r>
        <w:rPr>
          <w:spacing w:val="9"/>
          <w:sz w:val="22"/>
        </w:rPr>
        <w:t> </w:t>
      </w:r>
      <w:r>
        <w:rPr>
          <w:sz w:val="22"/>
        </w:rPr>
        <w:t>question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10"/>
          <w:sz w:val="22"/>
        </w:rPr>
        <w:t> </w:t>
      </w:r>
      <w:r>
        <w:rPr>
          <w:sz w:val="22"/>
        </w:rPr>
        <w:t>the</w:t>
      </w:r>
      <w:r>
        <w:rPr>
          <w:spacing w:val="10"/>
          <w:sz w:val="22"/>
        </w:rPr>
        <w:t> </w:t>
      </w:r>
      <w:r>
        <w:rPr>
          <w:sz w:val="22"/>
        </w:rPr>
        <w:t>future</w:t>
      </w:r>
      <w:r>
        <w:rPr>
          <w:spacing w:val="10"/>
          <w:sz w:val="22"/>
        </w:rPr>
        <w:t> </w:t>
      </w:r>
      <w:r>
        <w:rPr>
          <w:sz w:val="22"/>
        </w:rPr>
        <w:t>of</w:t>
      </w:r>
      <w:r>
        <w:rPr>
          <w:spacing w:val="9"/>
          <w:sz w:val="22"/>
        </w:rPr>
        <w:t> </w:t>
      </w:r>
      <w:r>
        <w:rPr>
          <w:spacing w:val="-4"/>
          <w:sz w:val="22"/>
        </w:rPr>
        <w:t>CCTA,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BodyText"/>
        <w:ind w:left="848"/>
      </w:pPr>
      <w:r>
        <w:rPr>
          <w:b/>
          <w:u w:val="single"/>
        </w:rPr>
        <w:t>Desiring</w:t>
      </w:r>
      <w:r>
        <w:rPr>
          <w:b/>
          <w:spacing w:val="11"/>
        </w:rPr>
        <w:t> </w:t>
      </w:r>
      <w:r>
        <w:rPr/>
        <w:t>to</w:t>
      </w:r>
      <w:r>
        <w:rPr>
          <w:spacing w:val="5"/>
        </w:rPr>
        <w:t> </w:t>
      </w:r>
      <w:r>
        <w:rPr/>
        <w:t>give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CCTA</w:t>
      </w:r>
      <w:r>
        <w:rPr>
          <w:spacing w:val="4"/>
        </w:rPr>
        <w:t> </w:t>
      </w:r>
      <w:r>
        <w:rPr/>
        <w:t>an</w:t>
      </w:r>
      <w:r>
        <w:rPr>
          <w:spacing w:val="4"/>
        </w:rPr>
        <w:t> </w:t>
      </w:r>
      <w:r>
        <w:rPr/>
        <w:t>African</w:t>
      </w:r>
      <w:r>
        <w:rPr>
          <w:spacing w:val="4"/>
        </w:rPr>
        <w:t> </w:t>
      </w:r>
      <w:r>
        <w:rPr/>
        <w:t>character</w:t>
      </w:r>
      <w:r>
        <w:rPr>
          <w:spacing w:val="5"/>
        </w:rPr>
        <w:t> </w:t>
      </w:r>
      <w:r>
        <w:rPr/>
        <w:t>and</w:t>
      </w:r>
      <w:r>
        <w:rPr>
          <w:spacing w:val="5"/>
        </w:rPr>
        <w:t> </w:t>
      </w:r>
      <w:r>
        <w:rPr/>
        <w:t>to</w:t>
      </w:r>
      <w:r>
        <w:rPr>
          <w:spacing w:val="5"/>
        </w:rPr>
        <w:t> </w:t>
      </w:r>
      <w:r>
        <w:rPr/>
        <w:t>integrate</w:t>
      </w:r>
      <w:r>
        <w:rPr>
          <w:spacing w:val="4"/>
        </w:rPr>
        <w:t> </w:t>
      </w:r>
      <w:r>
        <w:rPr/>
        <w:t>it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4"/>
        </w:rPr>
        <w:t>OAU,</w:t>
      </w: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9" w:lineRule="auto" w:before="0" w:after="0"/>
        <w:ind w:left="1183" w:right="144" w:hanging="336"/>
        <w:jc w:val="both"/>
        <w:rPr>
          <w:sz w:val="22"/>
        </w:rPr>
      </w:pPr>
      <w:r>
        <w:rPr>
          <w:b/>
          <w:sz w:val="22"/>
        </w:rPr>
        <w:t>REQUESTS </w:t>
      </w:r>
      <w:r>
        <w:rPr>
          <w:sz w:val="22"/>
        </w:rPr>
        <w:t>the Provisional Secretary-General to negotiate the transfer to the Organization of African Unity of the powers held by Non-African countries</w:t>
      </w:r>
      <w:r>
        <w:rPr>
          <w:spacing w:val="80"/>
          <w:sz w:val="22"/>
        </w:rPr>
        <w:t> </w:t>
      </w:r>
      <w:r>
        <w:rPr>
          <w:sz w:val="22"/>
        </w:rPr>
        <w:t>(France, Great Britain, Portugal, etc.);</w:t>
      </w:r>
    </w:p>
    <w:p>
      <w:pPr>
        <w:pStyle w:val="BodyText"/>
        <w:rPr>
          <w:sz w:val="34"/>
        </w:rPr>
      </w:pPr>
    </w:p>
    <w:p>
      <w:pPr>
        <w:pStyle w:val="ListParagraph"/>
        <w:numPr>
          <w:ilvl w:val="0"/>
          <w:numId w:val="1"/>
        </w:numPr>
        <w:tabs>
          <w:tab w:pos="1184" w:val="left" w:leader="none"/>
        </w:tabs>
        <w:spacing w:line="364" w:lineRule="auto" w:before="0" w:after="0"/>
        <w:ind w:left="1183" w:right="150" w:hanging="336"/>
        <w:jc w:val="both"/>
        <w:rPr>
          <w:sz w:val="22"/>
        </w:rPr>
      </w:pPr>
      <w:r>
        <w:rPr>
          <w:b/>
          <w:sz w:val="22"/>
        </w:rPr>
        <w:t>REQUESTS</w:t>
      </w:r>
      <w:r>
        <w:rPr>
          <w:b/>
          <w:spacing w:val="40"/>
          <w:sz w:val="22"/>
        </w:rPr>
        <w:t> </w:t>
      </w:r>
      <w:r>
        <w:rPr>
          <w:sz w:val="22"/>
        </w:rPr>
        <w:t>the</w:t>
      </w:r>
      <w:r>
        <w:rPr>
          <w:spacing w:val="40"/>
          <w:sz w:val="22"/>
        </w:rPr>
        <w:t> </w:t>
      </w:r>
      <w:r>
        <w:rPr>
          <w:sz w:val="22"/>
        </w:rPr>
        <w:t>Provisional</w:t>
      </w:r>
      <w:r>
        <w:rPr>
          <w:spacing w:val="40"/>
          <w:sz w:val="22"/>
        </w:rPr>
        <w:t> </w:t>
      </w:r>
      <w:r>
        <w:rPr>
          <w:sz w:val="22"/>
        </w:rPr>
        <w:t>Secretary-General,</w:t>
      </w:r>
      <w:r>
        <w:rPr>
          <w:spacing w:val="40"/>
          <w:sz w:val="22"/>
        </w:rPr>
        <w:t> </w:t>
      </w:r>
      <w:r>
        <w:rPr>
          <w:sz w:val="22"/>
        </w:rPr>
        <w:t>further</w:t>
      </w:r>
      <w:r>
        <w:rPr>
          <w:spacing w:val="40"/>
          <w:sz w:val="22"/>
        </w:rPr>
        <w:t> </w:t>
      </w:r>
      <w:r>
        <w:rPr>
          <w:sz w:val="22"/>
        </w:rPr>
        <w:t>that</w:t>
      </w:r>
      <w:r>
        <w:rPr>
          <w:spacing w:val="40"/>
          <w:sz w:val="22"/>
        </w:rPr>
        <w:t> </w:t>
      </w:r>
      <w:r>
        <w:rPr>
          <w:sz w:val="22"/>
        </w:rPr>
        <w:t>practical</w:t>
      </w:r>
      <w:r>
        <w:rPr>
          <w:spacing w:val="40"/>
          <w:sz w:val="22"/>
        </w:rPr>
        <w:t> </w:t>
      </w:r>
      <w:r>
        <w:rPr>
          <w:sz w:val="22"/>
        </w:rPr>
        <w:t>steps</w:t>
      </w:r>
      <w:r>
        <w:rPr>
          <w:spacing w:val="40"/>
          <w:sz w:val="22"/>
        </w:rPr>
        <w:t> </w:t>
      </w:r>
      <w:r>
        <w:rPr>
          <w:sz w:val="22"/>
        </w:rPr>
        <w:t>be taken for the effective integration of the CCTA in OAU.</w:t>
      </w:r>
    </w:p>
    <w:sectPr>
      <w:type w:val="continuous"/>
      <w:pgSz w:w="12240" w:h="15840"/>
      <w:pgMar w:top="6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184" w:hanging="336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2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42" w:hanging="336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04" w:hanging="336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66" w:hanging="336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28" w:hanging="336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90" w:hanging="336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52" w:hanging="336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14" w:hanging="336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276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5"/>
      <w:ind w:left="3154" w:right="3133"/>
      <w:jc w:val="center"/>
    </w:pPr>
    <w:rPr>
      <w:rFonts w:ascii="Times New Roman" w:hAnsi="Times New Roman" w:eastAsia="Times New Roman" w:cs="Times New Roman"/>
      <w:b/>
      <w:bCs/>
      <w:sz w:val="22"/>
      <w:szCs w:val="22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83" w:right="144" w:hanging="336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AND RECOMMENDATIONS OF THE ORDINARY SESSION OF THE COUNCIL OF MINISTERS HELD IN DAKAR, SENEGAL FROM 2 TO 11 AUGUST 1963</dc:title>
  <dcterms:created xsi:type="dcterms:W3CDTF">2023-06-06T12:52:44Z</dcterms:created>
  <dcterms:modified xsi:type="dcterms:W3CDTF">2023-06-06T12:52:44Z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LastSaved">
    <vt:filetime>2023-06-06T00:00:00Z</vt:filetime>
  </property>
  <property fmtid="{D5CDD505-2E9C-101B-9397-08002B2CF9AE}" pid="4" name="Producer">
    <vt:lpwstr>Acrobat PDFWriter 3.02 for Windows NT</vt:lpwstr>
  </property>
</Properties>
</file>