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BORDER</w:t>
      </w:r>
      <w:r>
        <w:rPr>
          <w:spacing w:val="14"/>
          <w:u w:val="single"/>
        </w:rPr>
        <w:t> </w:t>
      </w:r>
      <w:r>
        <w:rPr>
          <w:u w:val="single"/>
        </w:rPr>
        <w:t>DISPUTE</w:t>
      </w:r>
      <w:r>
        <w:rPr>
          <w:spacing w:val="14"/>
          <w:u w:val="single"/>
        </w:rPr>
        <w:t> </w:t>
      </w:r>
      <w:r>
        <w:rPr>
          <w:u w:val="single"/>
        </w:rPr>
        <w:t>BETWEEN</w:t>
      </w:r>
      <w:r>
        <w:rPr>
          <w:spacing w:val="15"/>
          <w:u w:val="single"/>
        </w:rPr>
        <w:t> </w:t>
      </w:r>
      <w:r>
        <w:rPr>
          <w:u w:val="single"/>
        </w:rPr>
        <w:t>ETHIOPIA</w:t>
      </w:r>
      <w:r>
        <w:rPr>
          <w:spacing w:val="14"/>
          <w:u w:val="single"/>
        </w:rPr>
        <w:t> </w:t>
      </w:r>
      <w:r>
        <w:rPr>
          <w:u w:val="single"/>
        </w:rPr>
        <w:t>AND</w:t>
      </w:r>
      <w:r>
        <w:rPr>
          <w:spacing w:val="15"/>
          <w:u w:val="single"/>
        </w:rPr>
        <w:t> </w:t>
      </w:r>
      <w:r>
        <w:rPr>
          <w:spacing w:val="-2"/>
          <w:u w:val="single"/>
        </w:rPr>
        <w:t>SOMALIA</w:t>
      </w:r>
    </w:p>
    <w:p>
      <w:pPr>
        <w:pStyle w:val="BodyText"/>
        <w:rPr>
          <w:b/>
          <w:sz w:val="20"/>
        </w:rPr>
      </w:pPr>
    </w:p>
    <w:p>
      <w:pPr>
        <w:pStyle w:val="BodyText"/>
        <w:spacing w:before="10"/>
        <w:rPr>
          <w:b/>
          <w:sz w:val="16"/>
        </w:rPr>
      </w:pPr>
    </w:p>
    <w:p>
      <w:pPr>
        <w:pStyle w:val="BodyText"/>
        <w:spacing w:line="364" w:lineRule="auto" w:before="96"/>
        <w:ind w:left="171" w:right="158" w:firstLine="676"/>
        <w:jc w:val="both"/>
      </w:pPr>
      <w:r>
        <w:rPr/>
        <w:t>The Council of Ministers meeting in its Second Extraordinary Session in Lagos,</w:t>
      </w:r>
      <w:r>
        <w:rPr>
          <w:spacing w:val="40"/>
        </w:rPr>
        <w:t> </w:t>
      </w:r>
      <w:r>
        <w:rPr/>
        <w:t>Nigeria, from 24 to 29 February 1964,</w:t>
      </w:r>
    </w:p>
    <w:p>
      <w:pPr>
        <w:pStyle w:val="BodyText"/>
        <w:spacing w:before="6"/>
        <w:rPr>
          <w:sz w:val="34"/>
        </w:rPr>
      </w:pPr>
    </w:p>
    <w:p>
      <w:pPr>
        <w:pStyle w:val="BodyText"/>
        <w:spacing w:line="369" w:lineRule="auto"/>
        <w:ind w:left="171" w:right="157" w:firstLine="676"/>
        <w:jc w:val="both"/>
      </w:pPr>
      <w:r>
        <w:rPr>
          <w:b/>
          <w:u w:val="single"/>
        </w:rPr>
        <w:t>Having considered</w:t>
      </w:r>
      <w:r>
        <w:rPr>
          <w:b/>
        </w:rPr>
        <w:t> </w:t>
      </w:r>
      <w:r>
        <w:rPr/>
        <w:t>the question of peaceful settlement of the border dispute between Ethiopia and Somalia,</w:t>
      </w:r>
    </w:p>
    <w:p>
      <w:pPr>
        <w:pStyle w:val="BodyText"/>
        <w:spacing w:before="8"/>
        <w:rPr>
          <w:sz w:val="33"/>
        </w:rPr>
      </w:pPr>
    </w:p>
    <w:p>
      <w:pPr>
        <w:pStyle w:val="BodyText"/>
        <w:spacing w:line="369" w:lineRule="auto"/>
        <w:ind w:left="171" w:right="154" w:firstLine="676"/>
        <w:jc w:val="both"/>
      </w:pPr>
      <w:r>
        <w:rPr>
          <w:b/>
          <w:u w:val="single"/>
        </w:rPr>
        <w:t>Having</w:t>
      </w:r>
      <w:r>
        <w:rPr>
          <w:b/>
          <w:spacing w:val="40"/>
          <w:u w:val="single"/>
        </w:rPr>
        <w:t> </w:t>
      </w:r>
      <w:r>
        <w:rPr>
          <w:b/>
          <w:u w:val="single"/>
        </w:rPr>
        <w:t>heard</w:t>
      </w:r>
      <w:r>
        <w:rPr>
          <w:b/>
          <w:spacing w:val="40"/>
        </w:rPr>
        <w:t> </w:t>
      </w:r>
      <w:r>
        <w:rPr/>
        <w:t>the</w:t>
      </w:r>
      <w:r>
        <w:rPr>
          <w:spacing w:val="40"/>
        </w:rPr>
        <w:t> </w:t>
      </w:r>
      <w:r>
        <w:rPr/>
        <w:t>statements</w:t>
      </w:r>
      <w:r>
        <w:rPr>
          <w:spacing w:val="40"/>
        </w:rPr>
        <w:t> </w:t>
      </w:r>
      <w:r>
        <w:rPr/>
        <w:t>of</w:t>
      </w:r>
      <w:r>
        <w:rPr>
          <w:spacing w:val="40"/>
        </w:rPr>
        <w:t> </w:t>
      </w:r>
      <w:r>
        <w:rPr/>
        <w:t>the</w:t>
      </w:r>
      <w:r>
        <w:rPr>
          <w:spacing w:val="40"/>
        </w:rPr>
        <w:t> </w:t>
      </w:r>
      <w:r>
        <w:rPr/>
        <w:t>delegations</w:t>
      </w:r>
      <w:r>
        <w:rPr>
          <w:spacing w:val="40"/>
        </w:rPr>
        <w:t> </w:t>
      </w:r>
      <w:r>
        <w:rPr/>
        <w:t>of</w:t>
      </w:r>
      <w:r>
        <w:rPr>
          <w:spacing w:val="40"/>
        </w:rPr>
        <w:t> </w:t>
      </w:r>
      <w:r>
        <w:rPr/>
        <w:t>Ethiopia</w:t>
      </w:r>
      <w:r>
        <w:rPr>
          <w:spacing w:val="40"/>
        </w:rPr>
        <w:t> </w:t>
      </w:r>
      <w:r>
        <w:rPr/>
        <w:t>and</w:t>
      </w:r>
      <w:r>
        <w:rPr>
          <w:spacing w:val="40"/>
        </w:rPr>
        <w:t> </w:t>
      </w:r>
      <w:r>
        <w:rPr/>
        <w:t>Somalia</w:t>
      </w:r>
      <w:r>
        <w:rPr>
          <w:spacing w:val="40"/>
        </w:rPr>
        <w:t> </w:t>
      </w:r>
      <w:r>
        <w:rPr/>
        <w:t>on</w:t>
      </w:r>
      <w:r>
        <w:rPr>
          <w:spacing w:val="40"/>
        </w:rPr>
        <w:t> </w:t>
      </w:r>
      <w:r>
        <w:rPr/>
        <w:t>the present position with regard to the border dispute between these two countries,</w:t>
      </w:r>
    </w:p>
    <w:p>
      <w:pPr>
        <w:pStyle w:val="BodyText"/>
        <w:spacing w:before="8"/>
        <w:rPr>
          <w:sz w:val="33"/>
        </w:rPr>
      </w:pPr>
    </w:p>
    <w:p>
      <w:pPr>
        <w:pStyle w:val="BodyText"/>
        <w:spacing w:line="374" w:lineRule="auto"/>
        <w:ind w:left="171" w:right="153" w:firstLine="676"/>
        <w:jc w:val="both"/>
      </w:pPr>
      <w:r>
        <w:rPr>
          <w:b/>
          <w:u w:val="single"/>
        </w:rPr>
        <w:t>Recalling</w:t>
      </w:r>
      <w:r>
        <w:rPr>
          <w:b/>
          <w:spacing w:val="40"/>
        </w:rPr>
        <w:t> </w:t>
      </w:r>
      <w:r>
        <w:rPr/>
        <w:t>resolution</w:t>
      </w:r>
      <w:r>
        <w:rPr>
          <w:spacing w:val="40"/>
        </w:rPr>
        <w:t> </w:t>
      </w:r>
      <w:r>
        <w:rPr/>
        <w:t>ECM/Res.</w:t>
      </w:r>
      <w:r>
        <w:rPr>
          <w:spacing w:val="40"/>
        </w:rPr>
        <w:t> </w:t>
      </w:r>
      <w:r>
        <w:rPr/>
        <w:t>3</w:t>
      </w:r>
      <w:r>
        <w:rPr>
          <w:spacing w:val="40"/>
        </w:rPr>
        <w:t> </w:t>
      </w:r>
      <w:r>
        <w:rPr/>
        <w:t>(II)</w:t>
      </w:r>
      <w:r>
        <w:rPr>
          <w:spacing w:val="40"/>
        </w:rPr>
        <w:t> </w:t>
      </w:r>
      <w:r>
        <w:rPr/>
        <w:t>adopted</w:t>
      </w:r>
      <w:r>
        <w:rPr>
          <w:spacing w:val="40"/>
        </w:rPr>
        <w:t> </w:t>
      </w:r>
      <w:r>
        <w:rPr/>
        <w:t>by</w:t>
      </w:r>
      <w:r>
        <w:rPr>
          <w:spacing w:val="40"/>
        </w:rPr>
        <w:t> </w:t>
      </w:r>
      <w:r>
        <w:rPr/>
        <w:t>the</w:t>
      </w:r>
      <w:r>
        <w:rPr>
          <w:spacing w:val="40"/>
        </w:rPr>
        <w:t> </w:t>
      </w:r>
      <w:r>
        <w:rPr/>
        <w:t>Council</w:t>
      </w:r>
      <w:r>
        <w:rPr>
          <w:spacing w:val="40"/>
        </w:rPr>
        <w:t> </w:t>
      </w:r>
      <w:r>
        <w:rPr/>
        <w:t>of</w:t>
      </w:r>
      <w:r>
        <w:rPr>
          <w:spacing w:val="40"/>
        </w:rPr>
        <w:t> </w:t>
      </w:r>
      <w:r>
        <w:rPr/>
        <w:t>Ministers</w:t>
      </w:r>
      <w:r>
        <w:rPr>
          <w:spacing w:val="40"/>
        </w:rPr>
        <w:t> </w:t>
      </w:r>
      <w:r>
        <w:rPr/>
        <w:t>at</w:t>
      </w:r>
      <w:r>
        <w:rPr>
          <w:spacing w:val="40"/>
        </w:rPr>
        <w:t> </w:t>
      </w:r>
      <w:r>
        <w:rPr/>
        <w:t>its Second Extra-ordinary Session held in Dar-es-Salaam from 12 to 15 February 1964,</w:t>
      </w:r>
    </w:p>
    <w:p>
      <w:pPr>
        <w:pStyle w:val="BodyText"/>
        <w:spacing w:before="9"/>
        <w:rPr>
          <w:sz w:val="32"/>
        </w:rPr>
      </w:pPr>
    </w:p>
    <w:p>
      <w:pPr>
        <w:pStyle w:val="BodyText"/>
        <w:spacing w:line="369" w:lineRule="auto"/>
        <w:ind w:left="171" w:right="156" w:firstLine="676"/>
        <w:jc w:val="both"/>
      </w:pPr>
      <w:r>
        <w:rPr>
          <w:b/>
          <w:u w:val="single"/>
        </w:rPr>
        <w:t>Congratulating</w:t>
      </w:r>
      <w:r>
        <w:rPr>
          <w:b/>
        </w:rPr>
        <w:t> </w:t>
      </w:r>
      <w:r>
        <w:rPr/>
        <w:t>the Governments of Ethiopia and Somalia for having immediately ordered a ceasefire,</w:t>
      </w:r>
    </w:p>
    <w:p>
      <w:pPr>
        <w:pStyle w:val="BodyText"/>
        <w:spacing w:before="1"/>
        <w:rPr>
          <w:sz w:val="34"/>
        </w:rPr>
      </w:pPr>
    </w:p>
    <w:p>
      <w:pPr>
        <w:pStyle w:val="BodyText"/>
        <w:spacing w:line="369" w:lineRule="auto"/>
        <w:ind w:left="171" w:right="167" w:firstLine="676"/>
        <w:jc w:val="both"/>
      </w:pPr>
      <w:r>
        <w:rPr>
          <w:b/>
          <w:u w:val="single"/>
        </w:rPr>
        <w:t>Noting</w:t>
      </w:r>
      <w:r>
        <w:rPr>
          <w:b/>
        </w:rPr>
        <w:t> </w:t>
      </w:r>
      <w:r>
        <w:rPr/>
        <w:t>with satisfaction that an atmosphere of brotherly détente has been established between the two countries, thus facilitating a peaceful and lasting solution in accordance with paragraph 4, of Article III of the charter of OAU,</w:t>
      </w:r>
    </w:p>
    <w:p>
      <w:pPr>
        <w:pStyle w:val="BodyText"/>
        <w:spacing w:before="7"/>
        <w:rPr>
          <w:sz w:val="33"/>
        </w:rPr>
      </w:pPr>
    </w:p>
    <w:p>
      <w:pPr>
        <w:pStyle w:val="BodyText"/>
        <w:spacing w:line="369" w:lineRule="auto"/>
        <w:ind w:left="171" w:right="151" w:firstLine="676"/>
        <w:jc w:val="both"/>
      </w:pPr>
      <w:r>
        <w:rPr>
          <w:b/>
          <w:u w:val="single"/>
        </w:rPr>
        <w:t>Anxious</w:t>
      </w:r>
      <w:r>
        <w:rPr>
          <w:b/>
          <w:spacing w:val="40"/>
        </w:rPr>
        <w:t> </w:t>
      </w:r>
      <w:r>
        <w:rPr/>
        <w:t>to</w:t>
      </w:r>
      <w:r>
        <w:rPr>
          <w:spacing w:val="40"/>
        </w:rPr>
        <w:t> </w:t>
      </w:r>
      <w:r>
        <w:rPr/>
        <w:t>consolidate</w:t>
      </w:r>
      <w:r>
        <w:rPr>
          <w:spacing w:val="40"/>
        </w:rPr>
        <w:t> </w:t>
      </w:r>
      <w:r>
        <w:rPr/>
        <w:t>the</w:t>
      </w:r>
      <w:r>
        <w:rPr>
          <w:spacing w:val="40"/>
        </w:rPr>
        <w:t> </w:t>
      </w:r>
      <w:r>
        <w:rPr/>
        <w:t>progress</w:t>
      </w:r>
      <w:r>
        <w:rPr>
          <w:spacing w:val="40"/>
        </w:rPr>
        <w:t> </w:t>
      </w:r>
      <w:r>
        <w:rPr/>
        <w:t>thus</w:t>
      </w:r>
      <w:r>
        <w:rPr>
          <w:spacing w:val="40"/>
        </w:rPr>
        <w:t> </w:t>
      </w:r>
      <w:r>
        <w:rPr/>
        <w:t>made</w:t>
      </w:r>
      <w:r>
        <w:rPr>
          <w:spacing w:val="40"/>
        </w:rPr>
        <w:t> </w:t>
      </w:r>
      <w:r>
        <w:rPr/>
        <w:t>in</w:t>
      </w:r>
      <w:r>
        <w:rPr>
          <w:spacing w:val="40"/>
        </w:rPr>
        <w:t> </w:t>
      </w:r>
      <w:r>
        <w:rPr/>
        <w:t>the</w:t>
      </w:r>
      <w:r>
        <w:rPr>
          <w:spacing w:val="40"/>
        </w:rPr>
        <w:t> </w:t>
      </w:r>
      <w:r>
        <w:rPr/>
        <w:t>prost</w:t>
      </w:r>
      <w:r>
        <w:rPr>
          <w:spacing w:val="40"/>
        </w:rPr>
        <w:t> </w:t>
      </w:r>
      <w:r>
        <w:rPr/>
        <w:t>of</w:t>
      </w:r>
      <w:r>
        <w:rPr>
          <w:spacing w:val="40"/>
        </w:rPr>
        <w:t> </w:t>
      </w:r>
      <w:r>
        <w:rPr/>
        <w:t>such</w:t>
      </w:r>
      <w:r>
        <w:rPr>
          <w:spacing w:val="40"/>
        </w:rPr>
        <w:t> </w:t>
      </w:r>
      <w:r>
        <w:rPr/>
        <w:t>a</w:t>
      </w:r>
      <w:r>
        <w:rPr>
          <w:spacing w:val="40"/>
        </w:rPr>
        <w:t> </w:t>
      </w:r>
      <w:r>
        <w:rPr/>
        <w:t>peaceful </w:t>
      </w:r>
      <w:r>
        <w:rPr>
          <w:spacing w:val="-2"/>
        </w:rPr>
        <w:t>solution.</w:t>
      </w:r>
    </w:p>
    <w:p>
      <w:pPr>
        <w:pStyle w:val="BodyText"/>
        <w:spacing w:before="1"/>
        <w:rPr>
          <w:sz w:val="34"/>
        </w:rPr>
      </w:pPr>
    </w:p>
    <w:p>
      <w:pPr>
        <w:pStyle w:val="ListParagraph"/>
        <w:numPr>
          <w:ilvl w:val="0"/>
          <w:numId w:val="1"/>
        </w:numPr>
        <w:tabs>
          <w:tab w:pos="1184" w:val="left" w:leader="none"/>
        </w:tabs>
        <w:spacing w:line="240" w:lineRule="auto" w:before="0" w:after="0"/>
        <w:ind w:left="1184" w:right="0" w:hanging="336"/>
        <w:jc w:val="left"/>
        <w:rPr>
          <w:sz w:val="22"/>
        </w:rPr>
      </w:pPr>
      <w:r>
        <w:rPr>
          <w:b/>
          <w:sz w:val="22"/>
        </w:rPr>
        <w:t>CONFIRMS</w:t>
      </w:r>
      <w:r>
        <w:rPr>
          <w:b/>
          <w:spacing w:val="15"/>
          <w:sz w:val="22"/>
        </w:rPr>
        <w:t> </w:t>
      </w:r>
      <w:r>
        <w:rPr>
          <w:sz w:val="22"/>
        </w:rPr>
        <w:t>resolution</w:t>
      </w:r>
      <w:r>
        <w:rPr>
          <w:spacing w:val="11"/>
          <w:sz w:val="22"/>
        </w:rPr>
        <w:t> </w:t>
      </w:r>
      <w:r>
        <w:rPr>
          <w:sz w:val="22"/>
        </w:rPr>
        <w:t>ECM/Res.</w:t>
      </w:r>
      <w:r>
        <w:rPr>
          <w:spacing w:val="11"/>
          <w:sz w:val="22"/>
        </w:rPr>
        <w:t> </w:t>
      </w:r>
      <w:r>
        <w:rPr>
          <w:sz w:val="22"/>
        </w:rPr>
        <w:t>3</w:t>
      </w:r>
      <w:r>
        <w:rPr>
          <w:spacing w:val="12"/>
          <w:sz w:val="22"/>
        </w:rPr>
        <w:t> </w:t>
      </w:r>
      <w:r>
        <w:rPr>
          <w:sz w:val="22"/>
        </w:rPr>
        <w:t>(II)</w:t>
      </w:r>
      <w:r>
        <w:rPr>
          <w:spacing w:val="12"/>
          <w:sz w:val="22"/>
        </w:rPr>
        <w:t> </w:t>
      </w:r>
      <w:r>
        <w:rPr>
          <w:sz w:val="22"/>
        </w:rPr>
        <w:t>of</w:t>
      </w:r>
      <w:r>
        <w:rPr>
          <w:spacing w:val="10"/>
          <w:sz w:val="22"/>
        </w:rPr>
        <w:t> </w:t>
      </w:r>
      <w:r>
        <w:rPr>
          <w:sz w:val="22"/>
        </w:rPr>
        <w:t>15</w:t>
      </w:r>
      <w:r>
        <w:rPr>
          <w:spacing w:val="12"/>
          <w:sz w:val="22"/>
        </w:rPr>
        <w:t> </w:t>
      </w:r>
      <w:r>
        <w:rPr>
          <w:sz w:val="22"/>
        </w:rPr>
        <w:t>February</w:t>
      </w:r>
      <w:r>
        <w:rPr>
          <w:spacing w:val="10"/>
          <w:sz w:val="22"/>
        </w:rPr>
        <w:t> </w:t>
      </w:r>
      <w:r>
        <w:rPr>
          <w:sz w:val="22"/>
        </w:rPr>
        <w:t>1964</w:t>
      </w:r>
      <w:r>
        <w:rPr>
          <w:spacing w:val="12"/>
          <w:sz w:val="22"/>
        </w:rPr>
        <w:t> </w:t>
      </w:r>
      <w:r>
        <w:rPr>
          <w:sz w:val="22"/>
        </w:rPr>
        <w:t>including</w:t>
      </w:r>
      <w:r>
        <w:rPr>
          <w:spacing w:val="10"/>
          <w:sz w:val="22"/>
        </w:rPr>
        <w:t> </w:t>
      </w:r>
      <w:r>
        <w:rPr>
          <w:spacing w:val="-2"/>
          <w:sz w:val="22"/>
        </w:rPr>
        <w:t>operative</w:t>
      </w:r>
    </w:p>
    <w:p>
      <w:pPr>
        <w:pStyle w:val="BodyText"/>
        <w:spacing w:before="131"/>
        <w:ind w:left="1184"/>
      </w:pPr>
      <w:r>
        <w:rPr/>
        <w:t>paragraphs</w:t>
      </w:r>
      <w:r>
        <w:rPr>
          <w:spacing w:val="14"/>
        </w:rPr>
        <w:t> </w:t>
      </w:r>
      <w:r>
        <w:rPr/>
        <w:t>1,2,3</w:t>
      </w:r>
      <w:r>
        <w:rPr>
          <w:spacing w:val="15"/>
        </w:rPr>
        <w:t> </w:t>
      </w:r>
      <w:r>
        <w:rPr/>
        <w:t>and</w:t>
      </w:r>
      <w:r>
        <w:rPr>
          <w:spacing w:val="16"/>
        </w:rPr>
        <w:t> </w:t>
      </w:r>
      <w:r>
        <w:rPr>
          <w:spacing w:val="-5"/>
        </w:rPr>
        <w:t>4,</w:t>
      </w:r>
    </w:p>
    <w:p>
      <w:pPr>
        <w:pStyle w:val="BodyText"/>
        <w:rPr>
          <w:sz w:val="24"/>
        </w:rPr>
      </w:pPr>
    </w:p>
    <w:p>
      <w:pPr>
        <w:pStyle w:val="BodyText"/>
        <w:spacing w:before="7"/>
        <w:rPr>
          <w:sz w:val="21"/>
        </w:rPr>
      </w:pPr>
    </w:p>
    <w:p>
      <w:pPr>
        <w:pStyle w:val="ListParagraph"/>
        <w:numPr>
          <w:ilvl w:val="0"/>
          <w:numId w:val="1"/>
        </w:numPr>
        <w:tabs>
          <w:tab w:pos="1184" w:val="left" w:leader="none"/>
        </w:tabs>
        <w:spacing w:line="372" w:lineRule="auto" w:before="0" w:after="0"/>
        <w:ind w:left="1184" w:right="155" w:hanging="336"/>
        <w:jc w:val="both"/>
        <w:rPr>
          <w:sz w:val="22"/>
        </w:rPr>
      </w:pPr>
      <w:r>
        <w:rPr>
          <w:b/>
          <w:sz w:val="22"/>
        </w:rPr>
        <w:t>REQUESTS </w:t>
      </w:r>
      <w:r>
        <w:rPr>
          <w:sz w:val="22"/>
        </w:rPr>
        <w:t>the Governments of Ethiopia and Somalia to maintain the ceasefire which was ordered and the discontinuation of hostilities which intervened, and to refrain from any action which may compromise the ceasefire;</w:t>
      </w:r>
    </w:p>
    <w:p>
      <w:pPr>
        <w:pStyle w:val="BodyText"/>
        <w:spacing w:before="4"/>
        <w:rPr>
          <w:sz w:val="33"/>
        </w:rPr>
      </w:pPr>
    </w:p>
    <w:p>
      <w:pPr>
        <w:pStyle w:val="ListParagraph"/>
        <w:numPr>
          <w:ilvl w:val="0"/>
          <w:numId w:val="1"/>
        </w:numPr>
        <w:tabs>
          <w:tab w:pos="1184" w:val="left" w:leader="none"/>
        </w:tabs>
        <w:spacing w:line="369" w:lineRule="auto" w:before="0" w:after="0"/>
        <w:ind w:left="1184" w:right="145" w:hanging="336"/>
        <w:jc w:val="both"/>
        <w:rPr>
          <w:sz w:val="22"/>
        </w:rPr>
      </w:pPr>
      <w:r>
        <w:rPr>
          <w:b/>
          <w:sz w:val="22"/>
        </w:rPr>
        <w:t>REQUESTS </w:t>
      </w:r>
      <w:r>
        <w:rPr>
          <w:sz w:val="22"/>
        </w:rPr>
        <w:t>the Government of Ethiopia and Somalia, in accordance with paragraph 4 of Article III of the Charter as well as operative paragraph 3 of resolution ECM/Res. 3 (II) of 15 February 1964, to open as soon as possible direct</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BodyText"/>
        <w:spacing w:line="374" w:lineRule="auto" w:before="5"/>
        <w:ind w:left="1183"/>
      </w:pPr>
      <w:r>
        <w:rPr/>
        <w:t>negotiations,</w:t>
      </w:r>
      <w:r>
        <w:rPr>
          <w:spacing w:val="25"/>
        </w:rPr>
        <w:t> </w:t>
      </w:r>
      <w:r>
        <w:rPr/>
        <w:t>with</w:t>
      </w:r>
      <w:r>
        <w:rPr>
          <w:spacing w:val="23"/>
        </w:rPr>
        <w:t> </w:t>
      </w:r>
      <w:r>
        <w:rPr/>
        <w:t>due</w:t>
      </w:r>
      <w:r>
        <w:rPr>
          <w:spacing w:val="23"/>
        </w:rPr>
        <w:t> </w:t>
      </w:r>
      <w:r>
        <w:rPr/>
        <w:t>respect</w:t>
      </w:r>
      <w:r>
        <w:rPr>
          <w:spacing w:val="23"/>
        </w:rPr>
        <w:t> </w:t>
      </w:r>
      <w:r>
        <w:rPr/>
        <w:t>to</w:t>
      </w:r>
      <w:r>
        <w:rPr>
          <w:spacing w:val="25"/>
        </w:rPr>
        <w:t> </w:t>
      </w:r>
      <w:r>
        <w:rPr/>
        <w:t>paragraph</w:t>
      </w:r>
      <w:r>
        <w:rPr>
          <w:spacing w:val="23"/>
        </w:rPr>
        <w:t> </w:t>
      </w:r>
      <w:r>
        <w:rPr/>
        <w:t>3</w:t>
      </w:r>
      <w:r>
        <w:rPr>
          <w:spacing w:val="25"/>
        </w:rPr>
        <w:t> </w:t>
      </w:r>
      <w:r>
        <w:rPr/>
        <w:t>of</w:t>
      </w:r>
      <w:r>
        <w:rPr>
          <w:spacing w:val="23"/>
        </w:rPr>
        <w:t> </w:t>
      </w:r>
      <w:r>
        <w:rPr/>
        <w:t>Article</w:t>
      </w:r>
      <w:r>
        <w:rPr>
          <w:spacing w:val="23"/>
        </w:rPr>
        <w:t> </w:t>
      </w:r>
      <w:r>
        <w:rPr/>
        <w:t>III</w:t>
      </w:r>
      <w:r>
        <w:rPr>
          <w:spacing w:val="23"/>
        </w:rPr>
        <w:t> </w:t>
      </w:r>
      <w:r>
        <w:rPr/>
        <w:t>of</w:t>
      </w:r>
      <w:r>
        <w:rPr>
          <w:spacing w:val="23"/>
        </w:rPr>
        <w:t> </w:t>
      </w:r>
      <w:r>
        <w:rPr/>
        <w:t>the</w:t>
      </w:r>
      <w:r>
        <w:rPr>
          <w:spacing w:val="23"/>
        </w:rPr>
        <w:t> </w:t>
      </w:r>
      <w:r>
        <w:rPr/>
        <w:t>Charter,</w:t>
      </w:r>
      <w:r>
        <w:rPr>
          <w:spacing w:val="25"/>
        </w:rPr>
        <w:t> </w:t>
      </w:r>
      <w:r>
        <w:rPr/>
        <w:t>with</w:t>
      </w:r>
      <w:r>
        <w:rPr>
          <w:spacing w:val="23"/>
        </w:rPr>
        <w:t> </w:t>
      </w:r>
      <w:r>
        <w:rPr/>
        <w:t>a view to reaching a peaceful solution of the long-standing border dispute;</w:t>
      </w:r>
    </w:p>
    <w:p>
      <w:pPr>
        <w:pStyle w:val="BodyText"/>
        <w:spacing w:before="2"/>
        <w:rPr>
          <w:sz w:val="33"/>
        </w:rPr>
      </w:pPr>
    </w:p>
    <w:p>
      <w:pPr>
        <w:pStyle w:val="ListParagraph"/>
        <w:numPr>
          <w:ilvl w:val="0"/>
          <w:numId w:val="1"/>
        </w:numPr>
        <w:tabs>
          <w:tab w:pos="1184" w:val="left" w:leader="none"/>
        </w:tabs>
        <w:spacing w:line="369" w:lineRule="auto" w:before="0" w:after="0"/>
        <w:ind w:left="1183" w:right="156" w:hanging="336"/>
        <w:jc w:val="both"/>
        <w:rPr>
          <w:sz w:val="22"/>
        </w:rPr>
      </w:pPr>
      <w:r>
        <w:rPr>
          <w:b/>
          <w:sz w:val="22"/>
        </w:rPr>
        <w:t>REQUESTS </w:t>
      </w:r>
      <w:r>
        <w:rPr>
          <w:sz w:val="22"/>
        </w:rPr>
        <w:t>them to make every effort towards full implementation of this resolution and to report on the result of their negotiations to the next Assembly of Heads of State and Government of the Organization of African Unity.</w:t>
      </w:r>
    </w:p>
    <w:sectPr>
      <w:headerReference w:type="default" r:id="rId6"/>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4.920013pt;margin-top:34.068241pt;width:74.75pt;height:14.5pt;mso-position-horizontal-relative:page;mso-position-vertical-relative:page;z-index:-15763968" type="#_x0000_t202" id="docshape1" filled="false" stroked="false">
          <v:textbox inset="0,0,0,0">
            <w:txbxContent>
              <w:p>
                <w:pPr>
                  <w:pStyle w:val="BodyText"/>
                  <w:spacing w:before="15"/>
                  <w:ind w:left="20"/>
                </w:pPr>
                <w:r>
                  <w:rPr/>
                  <w:t>CM/Res.</w:t>
                </w:r>
                <w:r>
                  <w:rPr>
                    <w:spacing w:val="15"/>
                  </w:rPr>
                  <w:t> </w:t>
                </w:r>
                <w:r>
                  <w:rPr/>
                  <w:t>16</w:t>
                </w:r>
                <w:r>
                  <w:rPr>
                    <w:spacing w:val="16"/>
                  </w:rPr>
                  <w:t> </w:t>
                </w:r>
                <w:r>
                  <w:rPr>
                    <w:spacing w:val="-4"/>
                  </w:rPr>
                  <w:t>(II)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4.920013pt;margin-top:34.068241pt;width:74.75pt;height:14.5pt;mso-position-horizontal-relative:page;mso-position-vertical-relative:page;z-index:-15763456" type="#_x0000_t202" id="docshape2" filled="false" stroked="false">
          <v:textbox inset="0,0,0,0">
            <w:txbxContent>
              <w:p>
                <w:pPr>
                  <w:pStyle w:val="BodyText"/>
                  <w:spacing w:before="15"/>
                  <w:ind w:left="20"/>
                </w:pPr>
                <w:r>
                  <w:rPr/>
                  <w:t>CM/Res.</w:t>
                </w:r>
                <w:r>
                  <w:rPr>
                    <w:spacing w:val="15"/>
                  </w:rPr>
                  <w:t> </w:t>
                </w:r>
                <w:r>
                  <w:rPr/>
                  <w:t>11</w:t>
                </w:r>
                <w:r>
                  <w:rPr>
                    <w:spacing w:val="16"/>
                  </w:rPr>
                  <w:t> </w:t>
                </w:r>
                <w:r>
                  <w:rPr>
                    <w:spacing w:val="-4"/>
                  </w:rPr>
                  <w:t>(II)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1404" w:right="1387"/>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SECOND ORDINARY SESSION OF THE COUNCIL OF MINISTERS HELD IN LAGOS, NIGERIA, FROM 24 TO 29 FEBRUARY 1964</dc:title>
  <dcterms:created xsi:type="dcterms:W3CDTF">2023-06-06T12:53:05Z</dcterms:created>
  <dcterms:modified xsi:type="dcterms:W3CDTF">2023-06-06T12:53:05Z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