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4"/>
        <w:jc w:val="right"/>
      </w:pPr>
      <w:r>
        <w:rPr/>
        <w:t>CM/Res.</w:t>
      </w:r>
      <w:r>
        <w:rPr>
          <w:spacing w:val="17"/>
        </w:rPr>
        <w:t> </w:t>
      </w:r>
      <w:r>
        <w:rPr/>
        <w:t>17</w:t>
      </w:r>
      <w:r>
        <w:rPr>
          <w:spacing w:val="15"/>
        </w:rPr>
        <w:t> </w:t>
      </w:r>
      <w:r>
        <w:rPr>
          <w:spacing w:val="-4"/>
        </w:rPr>
        <w:t>(II)</w:t>
      </w:r>
    </w:p>
    <w:p>
      <w:pPr>
        <w:pStyle w:val="BodyText"/>
        <w:spacing w:before="10"/>
        <w:rPr>
          <w:sz w:val="26"/>
        </w:rPr>
      </w:pPr>
    </w:p>
    <w:p>
      <w:pPr>
        <w:pStyle w:val="Title"/>
        <w:rPr>
          <w:u w:val="none"/>
        </w:rPr>
      </w:pPr>
      <w:r>
        <w:rPr>
          <w:u w:val="single"/>
        </w:rPr>
        <w:t>DISPUTE</w:t>
      </w:r>
      <w:r>
        <w:rPr>
          <w:spacing w:val="13"/>
          <w:u w:val="single"/>
        </w:rPr>
        <w:t> </w:t>
      </w:r>
      <w:r>
        <w:rPr>
          <w:u w:val="single"/>
        </w:rPr>
        <w:t>BETWEEN</w:t>
      </w:r>
      <w:r>
        <w:rPr>
          <w:spacing w:val="13"/>
          <w:u w:val="single"/>
        </w:rPr>
        <w:t> </w:t>
      </w:r>
      <w:r>
        <w:rPr>
          <w:u w:val="single"/>
        </w:rPr>
        <w:t>SOMALIA</w:t>
      </w:r>
      <w:r>
        <w:rPr>
          <w:spacing w:val="14"/>
          <w:u w:val="single"/>
        </w:rPr>
        <w:t> </w:t>
      </w:r>
      <w:r>
        <w:rPr>
          <w:u w:val="single"/>
        </w:rPr>
        <w:t>AND</w:t>
      </w:r>
      <w:r>
        <w:rPr>
          <w:spacing w:val="13"/>
          <w:u w:val="single"/>
        </w:rPr>
        <w:t> </w:t>
      </w:r>
      <w:r>
        <w:rPr>
          <w:spacing w:val="-2"/>
          <w:u w:val="single"/>
        </w:rPr>
        <w:t>KENYA</w:t>
      </w:r>
    </w:p>
    <w:p>
      <w:pPr>
        <w:pStyle w:val="BodyText"/>
        <w:rPr>
          <w:b/>
          <w:sz w:val="20"/>
        </w:rPr>
      </w:pPr>
    </w:p>
    <w:p>
      <w:pPr>
        <w:pStyle w:val="BodyText"/>
        <w:spacing w:before="10"/>
        <w:rPr>
          <w:b/>
          <w:sz w:val="16"/>
        </w:rPr>
      </w:pPr>
    </w:p>
    <w:p>
      <w:pPr>
        <w:pStyle w:val="BodyText"/>
        <w:spacing w:line="364" w:lineRule="auto" w:before="96"/>
        <w:ind w:left="171" w:right="157" w:firstLine="676"/>
        <w:jc w:val="both"/>
      </w:pPr>
      <w:r>
        <w:rPr/>
        <w:t>The Council of Ministers meeting in its Second Extraordinary Session in Lagos,</w:t>
      </w:r>
      <w:r>
        <w:rPr>
          <w:spacing w:val="40"/>
        </w:rPr>
        <w:t> </w:t>
      </w:r>
      <w:r>
        <w:rPr/>
        <w:t>Nigeria, from 24 to 29 February 1964,</w:t>
      </w:r>
    </w:p>
    <w:p>
      <w:pPr>
        <w:pStyle w:val="BodyText"/>
        <w:spacing w:before="6"/>
        <w:rPr>
          <w:sz w:val="34"/>
        </w:rPr>
      </w:pPr>
    </w:p>
    <w:p>
      <w:pPr>
        <w:pStyle w:val="BodyText"/>
        <w:spacing w:line="369" w:lineRule="auto" w:before="1"/>
        <w:ind w:left="171" w:right="156" w:firstLine="676"/>
        <w:jc w:val="both"/>
      </w:pPr>
      <w:r>
        <w:rPr>
          <w:b/>
          <w:u w:val="single"/>
        </w:rPr>
        <w:t>Having</w:t>
      </w:r>
      <w:r>
        <w:rPr>
          <w:b/>
        </w:rPr>
        <w:t> </w:t>
      </w:r>
      <w:r>
        <w:rPr/>
        <w:t>heard the statements of the representatives of Kenya and of Somalia on the border incidents which have occurred between Kenya and Somalia,</w:t>
      </w:r>
    </w:p>
    <w:p>
      <w:pPr>
        <w:pStyle w:val="BodyText"/>
        <w:spacing w:before="7"/>
        <w:rPr>
          <w:sz w:val="33"/>
        </w:rPr>
      </w:pPr>
    </w:p>
    <w:p>
      <w:pPr>
        <w:pStyle w:val="BodyText"/>
        <w:spacing w:line="369" w:lineRule="auto"/>
        <w:ind w:left="171" w:right="178" w:firstLine="676"/>
        <w:jc w:val="both"/>
      </w:pPr>
      <w:r>
        <w:rPr>
          <w:b/>
          <w:u w:val="single"/>
        </w:rPr>
        <w:t>Recalling</w:t>
      </w:r>
      <w:r>
        <w:rPr>
          <w:b/>
        </w:rPr>
        <w:t> </w:t>
      </w:r>
      <w:r>
        <w:rPr/>
        <w:t>resolution ECM/Res. 4 (II) of 15 February 1964 and particularly operative paragraphs 1 and 2,</w:t>
      </w:r>
    </w:p>
    <w:p>
      <w:pPr>
        <w:pStyle w:val="BodyText"/>
        <w:spacing w:before="8"/>
        <w:rPr>
          <w:sz w:val="33"/>
        </w:rPr>
      </w:pPr>
    </w:p>
    <w:p>
      <w:pPr>
        <w:pStyle w:val="BodyText"/>
        <w:spacing w:line="372" w:lineRule="auto"/>
        <w:ind w:left="171" w:right="146" w:firstLine="676"/>
        <w:jc w:val="both"/>
      </w:pPr>
      <w:r>
        <w:rPr>
          <w:b/>
          <w:u w:val="single"/>
        </w:rPr>
        <w:t>Deeply</w:t>
      </w:r>
      <w:r>
        <w:rPr>
          <w:b/>
        </w:rPr>
        <w:t> </w:t>
      </w:r>
      <w:r>
        <w:rPr/>
        <w:t>concerned that the continuation of such regrettable incidents may aggravate tension</w:t>
      </w:r>
      <w:r>
        <w:rPr>
          <w:spacing w:val="40"/>
        </w:rPr>
        <w:t> </w:t>
      </w:r>
      <w:r>
        <w:rPr/>
        <w:t>between</w:t>
      </w:r>
      <w:r>
        <w:rPr>
          <w:spacing w:val="40"/>
        </w:rPr>
        <w:t> </w:t>
      </w:r>
      <w:r>
        <w:rPr/>
        <w:t>then</w:t>
      </w:r>
      <w:r>
        <w:rPr>
          <w:spacing w:val="40"/>
        </w:rPr>
        <w:t> </w:t>
      </w:r>
      <w:r>
        <w:rPr/>
        <w:t>and</w:t>
      </w:r>
      <w:r>
        <w:rPr>
          <w:spacing w:val="40"/>
        </w:rPr>
        <w:t> </w:t>
      </w:r>
      <w:r>
        <w:rPr/>
        <w:t>lead</w:t>
      </w:r>
      <w:r>
        <w:rPr>
          <w:spacing w:val="40"/>
        </w:rPr>
        <w:t> </w:t>
      </w:r>
      <w:r>
        <w:rPr/>
        <w:t>to</w:t>
      </w:r>
      <w:r>
        <w:rPr>
          <w:spacing w:val="40"/>
        </w:rPr>
        <w:t> </w:t>
      </w:r>
      <w:r>
        <w:rPr/>
        <w:t>hostilities</w:t>
      </w:r>
      <w:r>
        <w:rPr>
          <w:spacing w:val="40"/>
        </w:rPr>
        <w:t> </w:t>
      </w:r>
      <w:r>
        <w:rPr/>
        <w:t>the</w:t>
      </w:r>
      <w:r>
        <w:rPr>
          <w:spacing w:val="40"/>
        </w:rPr>
        <w:t> </w:t>
      </w:r>
      <w:r>
        <w:rPr/>
        <w:t>repercussions</w:t>
      </w:r>
      <w:r>
        <w:rPr>
          <w:spacing w:val="40"/>
        </w:rPr>
        <w:t> </w:t>
      </w:r>
      <w:r>
        <w:rPr/>
        <w:t>of</w:t>
      </w:r>
      <w:r>
        <w:rPr>
          <w:spacing w:val="40"/>
        </w:rPr>
        <w:t> </w:t>
      </w:r>
      <w:r>
        <w:rPr/>
        <w:t>which</w:t>
      </w:r>
      <w:r>
        <w:rPr>
          <w:spacing w:val="40"/>
        </w:rPr>
        <w:t> </w:t>
      </w:r>
      <w:r>
        <w:rPr/>
        <w:t>may</w:t>
      </w:r>
      <w:r>
        <w:rPr>
          <w:spacing w:val="40"/>
        </w:rPr>
        <w:t> </w:t>
      </w:r>
      <w:r>
        <w:rPr/>
        <w:t>seriously prejudice African Unity and peace in this Continent,</w:t>
      </w:r>
    </w:p>
    <w:p>
      <w:pPr>
        <w:pStyle w:val="BodyText"/>
        <w:spacing w:before="11"/>
        <w:rPr>
          <w:sz w:val="32"/>
        </w:rPr>
      </w:pPr>
    </w:p>
    <w:p>
      <w:pPr>
        <w:pStyle w:val="BodyText"/>
        <w:ind w:left="848"/>
      </w:pPr>
      <w:r>
        <w:rPr>
          <w:b/>
          <w:u w:val="single"/>
        </w:rPr>
        <w:t>Recalling</w:t>
      </w:r>
      <w:r>
        <w:rPr>
          <w:b/>
          <w:spacing w:val="11"/>
        </w:rPr>
        <w:t> </w:t>
      </w:r>
      <w:r>
        <w:rPr/>
        <w:t>paragraph</w:t>
      </w:r>
      <w:r>
        <w:rPr>
          <w:spacing w:val="6"/>
        </w:rPr>
        <w:t> </w:t>
      </w:r>
      <w:r>
        <w:rPr/>
        <w:t>4</w:t>
      </w:r>
      <w:r>
        <w:rPr>
          <w:spacing w:val="8"/>
        </w:rPr>
        <w:t> </w:t>
      </w:r>
      <w:r>
        <w:rPr/>
        <w:t>of</w:t>
      </w:r>
      <w:r>
        <w:rPr>
          <w:spacing w:val="7"/>
        </w:rPr>
        <w:t> </w:t>
      </w:r>
      <w:r>
        <w:rPr/>
        <w:t>Article</w:t>
      </w:r>
      <w:r>
        <w:rPr>
          <w:spacing w:val="7"/>
        </w:rPr>
        <w:t> </w:t>
      </w:r>
      <w:r>
        <w:rPr/>
        <w:t>III</w:t>
      </w:r>
      <w:r>
        <w:rPr>
          <w:spacing w:val="7"/>
        </w:rPr>
        <w:t> </w:t>
      </w:r>
      <w:r>
        <w:rPr/>
        <w:t>of</w:t>
      </w:r>
      <w:r>
        <w:rPr>
          <w:spacing w:val="7"/>
        </w:rPr>
        <w:t> </w:t>
      </w:r>
      <w:r>
        <w:rPr/>
        <w:t>the</w:t>
      </w:r>
      <w:r>
        <w:rPr>
          <w:spacing w:val="7"/>
        </w:rPr>
        <w:t> </w:t>
      </w:r>
      <w:r>
        <w:rPr>
          <w:spacing w:val="-2"/>
        </w:rPr>
        <w:t>Charter,</w:t>
      </w:r>
    </w:p>
    <w:p>
      <w:pPr>
        <w:pStyle w:val="BodyText"/>
        <w:rPr>
          <w:sz w:val="24"/>
        </w:rPr>
      </w:pPr>
    </w:p>
    <w:p>
      <w:pPr>
        <w:pStyle w:val="BodyText"/>
      </w:pPr>
    </w:p>
    <w:p>
      <w:pPr>
        <w:pStyle w:val="ListParagraph"/>
        <w:numPr>
          <w:ilvl w:val="0"/>
          <w:numId w:val="1"/>
        </w:numPr>
        <w:tabs>
          <w:tab w:pos="1184" w:val="left" w:leader="none"/>
        </w:tabs>
        <w:spacing w:line="369" w:lineRule="auto" w:before="0" w:after="0"/>
        <w:ind w:left="1183" w:right="143" w:hanging="336"/>
        <w:jc w:val="both"/>
        <w:rPr>
          <w:sz w:val="22"/>
        </w:rPr>
      </w:pPr>
      <w:r>
        <w:rPr>
          <w:b/>
          <w:sz w:val="22"/>
        </w:rPr>
        <w:t>REAFFIRMS </w:t>
      </w:r>
      <w:r>
        <w:rPr>
          <w:sz w:val="22"/>
        </w:rPr>
        <w:t>paragraphs 1 and 2 of resolution ECM/Res. 4 (II) adopted by the Council of Ministers at its Second Extra-ordinary Session held in Dar-es-Salaam from 12 to 15 February 1964;</w:t>
      </w:r>
    </w:p>
    <w:p>
      <w:pPr>
        <w:pStyle w:val="BodyText"/>
        <w:spacing w:before="7"/>
        <w:rPr>
          <w:sz w:val="33"/>
        </w:rPr>
      </w:pPr>
    </w:p>
    <w:p>
      <w:pPr>
        <w:pStyle w:val="ListParagraph"/>
        <w:numPr>
          <w:ilvl w:val="0"/>
          <w:numId w:val="1"/>
        </w:numPr>
        <w:tabs>
          <w:tab w:pos="1184" w:val="left" w:leader="none"/>
        </w:tabs>
        <w:spacing w:line="369" w:lineRule="auto" w:before="0" w:after="0"/>
        <w:ind w:left="1183" w:right="158" w:hanging="336"/>
        <w:jc w:val="both"/>
        <w:rPr>
          <w:sz w:val="22"/>
        </w:rPr>
      </w:pPr>
      <w:r>
        <w:rPr>
          <w:b/>
          <w:sz w:val="22"/>
        </w:rPr>
        <w:t>INVITES </w:t>
      </w:r>
      <w:r>
        <w:rPr>
          <w:sz w:val="22"/>
        </w:rPr>
        <w:t>the Governments of Kenya and Somalia to open as soon as possible</w:t>
      </w:r>
      <w:r>
        <w:rPr>
          <w:spacing w:val="40"/>
          <w:sz w:val="22"/>
        </w:rPr>
        <w:t> </w:t>
      </w:r>
      <w:r>
        <w:rPr>
          <w:sz w:val="22"/>
        </w:rPr>
        <w:t>direct</w:t>
      </w:r>
      <w:r>
        <w:rPr>
          <w:spacing w:val="40"/>
          <w:sz w:val="22"/>
        </w:rPr>
        <w:t> </w:t>
      </w:r>
      <w:r>
        <w:rPr>
          <w:sz w:val="22"/>
        </w:rPr>
        <w:t>negotiations</w:t>
      </w:r>
      <w:r>
        <w:rPr>
          <w:spacing w:val="40"/>
          <w:sz w:val="22"/>
        </w:rPr>
        <w:t> </w:t>
      </w:r>
      <w:r>
        <w:rPr>
          <w:sz w:val="22"/>
        </w:rPr>
        <w:t>with</w:t>
      </w:r>
      <w:r>
        <w:rPr>
          <w:spacing w:val="40"/>
          <w:sz w:val="22"/>
        </w:rPr>
        <w:t> </w:t>
      </w:r>
      <w:r>
        <w:rPr>
          <w:sz w:val="22"/>
        </w:rPr>
        <w:t>due</w:t>
      </w:r>
      <w:r>
        <w:rPr>
          <w:spacing w:val="40"/>
          <w:sz w:val="22"/>
        </w:rPr>
        <w:t> </w:t>
      </w:r>
      <w:r>
        <w:rPr>
          <w:sz w:val="22"/>
        </w:rPr>
        <w:t>respect</w:t>
      </w:r>
      <w:r>
        <w:rPr>
          <w:spacing w:val="40"/>
          <w:sz w:val="22"/>
        </w:rPr>
        <w:t> </w:t>
      </w:r>
      <w:r>
        <w:rPr>
          <w:sz w:val="22"/>
        </w:rPr>
        <w:t>to</w:t>
      </w:r>
      <w:r>
        <w:rPr>
          <w:spacing w:val="40"/>
          <w:sz w:val="22"/>
        </w:rPr>
        <w:t> </w:t>
      </w:r>
      <w:r>
        <w:rPr>
          <w:sz w:val="22"/>
        </w:rPr>
        <w:t>paragraph</w:t>
      </w:r>
      <w:r>
        <w:rPr>
          <w:spacing w:val="40"/>
          <w:sz w:val="22"/>
        </w:rPr>
        <w:t> </w:t>
      </w:r>
      <w:r>
        <w:rPr>
          <w:sz w:val="22"/>
        </w:rPr>
        <w:t>3</w:t>
      </w:r>
      <w:r>
        <w:rPr>
          <w:spacing w:val="40"/>
          <w:sz w:val="22"/>
        </w:rPr>
        <w:t> </w:t>
      </w:r>
      <w:r>
        <w:rPr>
          <w:sz w:val="22"/>
        </w:rPr>
        <w:t>of</w:t>
      </w:r>
      <w:r>
        <w:rPr>
          <w:spacing w:val="40"/>
          <w:sz w:val="22"/>
        </w:rPr>
        <w:t> </w:t>
      </w:r>
      <w:r>
        <w:rPr>
          <w:sz w:val="22"/>
        </w:rPr>
        <w:t>Article</w:t>
      </w:r>
      <w:r>
        <w:rPr>
          <w:spacing w:val="40"/>
          <w:sz w:val="22"/>
        </w:rPr>
        <w:t> </w:t>
      </w:r>
      <w:r>
        <w:rPr>
          <w:sz w:val="22"/>
        </w:rPr>
        <w:t>III</w:t>
      </w:r>
      <w:r>
        <w:rPr>
          <w:spacing w:val="40"/>
          <w:sz w:val="22"/>
        </w:rPr>
        <w:t> </w:t>
      </w:r>
      <w:r>
        <w:rPr>
          <w:sz w:val="22"/>
        </w:rPr>
        <w:t>of</w:t>
      </w:r>
      <w:r>
        <w:rPr>
          <w:spacing w:val="40"/>
          <w:sz w:val="22"/>
        </w:rPr>
        <w:t> </w:t>
      </w:r>
      <w:r>
        <w:rPr>
          <w:sz w:val="22"/>
        </w:rPr>
        <w:t>the</w:t>
      </w:r>
      <w:r>
        <w:rPr>
          <w:spacing w:val="40"/>
          <w:sz w:val="22"/>
        </w:rPr>
        <w:t> </w:t>
      </w:r>
      <w:r>
        <w:rPr>
          <w:sz w:val="22"/>
        </w:rPr>
        <w:t>charter with a view to finding a peaceful and lasting solution to differences between them;</w:t>
      </w:r>
    </w:p>
    <w:p>
      <w:pPr>
        <w:pStyle w:val="BodyText"/>
        <w:spacing w:before="1"/>
        <w:rPr>
          <w:sz w:val="34"/>
        </w:rPr>
      </w:pPr>
    </w:p>
    <w:p>
      <w:pPr>
        <w:pStyle w:val="ListParagraph"/>
        <w:numPr>
          <w:ilvl w:val="0"/>
          <w:numId w:val="1"/>
        </w:numPr>
        <w:tabs>
          <w:tab w:pos="1184" w:val="left" w:leader="none"/>
        </w:tabs>
        <w:spacing w:line="369" w:lineRule="auto" w:before="0" w:after="0"/>
        <w:ind w:left="1184" w:right="149" w:hanging="336"/>
        <w:jc w:val="both"/>
        <w:rPr>
          <w:sz w:val="22"/>
        </w:rPr>
      </w:pPr>
      <w:r>
        <w:rPr>
          <w:b/>
          <w:sz w:val="22"/>
        </w:rPr>
        <w:t>INVITES</w:t>
      </w:r>
      <w:r>
        <w:rPr>
          <w:b/>
          <w:spacing w:val="26"/>
          <w:sz w:val="22"/>
        </w:rPr>
        <w:t> </w:t>
      </w:r>
      <w:r>
        <w:rPr>
          <w:sz w:val="22"/>
        </w:rPr>
        <w:t>them</w:t>
      </w:r>
      <w:r>
        <w:rPr>
          <w:spacing w:val="23"/>
          <w:sz w:val="22"/>
        </w:rPr>
        <w:t> </w:t>
      </w:r>
      <w:r>
        <w:rPr>
          <w:sz w:val="22"/>
        </w:rPr>
        <w:t>further</w:t>
      </w:r>
      <w:r>
        <w:rPr>
          <w:spacing w:val="23"/>
          <w:sz w:val="22"/>
        </w:rPr>
        <w:t> </w:t>
      </w:r>
      <w:r>
        <w:rPr>
          <w:sz w:val="22"/>
        </w:rPr>
        <w:t>to</w:t>
      </w:r>
      <w:r>
        <w:rPr>
          <w:spacing w:val="23"/>
          <w:sz w:val="22"/>
        </w:rPr>
        <w:t> </w:t>
      </w:r>
      <w:r>
        <w:rPr>
          <w:sz w:val="22"/>
        </w:rPr>
        <w:t>refrain</w:t>
      </w:r>
      <w:r>
        <w:rPr>
          <w:spacing w:val="22"/>
          <w:sz w:val="22"/>
        </w:rPr>
        <w:t> </w:t>
      </w:r>
      <w:r>
        <w:rPr>
          <w:sz w:val="22"/>
        </w:rPr>
        <w:t>from</w:t>
      </w:r>
      <w:r>
        <w:rPr>
          <w:spacing w:val="23"/>
          <w:sz w:val="22"/>
        </w:rPr>
        <w:t> </w:t>
      </w:r>
      <w:r>
        <w:rPr>
          <w:sz w:val="22"/>
        </w:rPr>
        <w:t>all</w:t>
      </w:r>
      <w:r>
        <w:rPr>
          <w:spacing w:val="22"/>
          <w:sz w:val="22"/>
        </w:rPr>
        <w:t> </w:t>
      </w:r>
      <w:r>
        <w:rPr>
          <w:sz w:val="22"/>
        </w:rPr>
        <w:t>acts</w:t>
      </w:r>
      <w:r>
        <w:rPr>
          <w:spacing w:val="22"/>
          <w:sz w:val="22"/>
        </w:rPr>
        <w:t> </w:t>
      </w:r>
      <w:r>
        <w:rPr>
          <w:sz w:val="22"/>
        </w:rPr>
        <w:t>which</w:t>
      </w:r>
      <w:r>
        <w:rPr>
          <w:spacing w:val="22"/>
          <w:sz w:val="22"/>
        </w:rPr>
        <w:t> </w:t>
      </w:r>
      <w:r>
        <w:rPr>
          <w:sz w:val="22"/>
        </w:rPr>
        <w:t>may</w:t>
      </w:r>
      <w:r>
        <w:rPr>
          <w:spacing w:val="22"/>
          <w:sz w:val="22"/>
        </w:rPr>
        <w:t> </w:t>
      </w:r>
      <w:r>
        <w:rPr>
          <w:sz w:val="22"/>
        </w:rPr>
        <w:t>aggravate</w:t>
      </w:r>
      <w:r>
        <w:rPr>
          <w:spacing w:val="22"/>
          <w:sz w:val="22"/>
        </w:rPr>
        <w:t> </w:t>
      </w:r>
      <w:r>
        <w:rPr>
          <w:sz w:val="22"/>
        </w:rPr>
        <w:t>the</w:t>
      </w:r>
      <w:r>
        <w:rPr>
          <w:spacing w:val="22"/>
          <w:sz w:val="22"/>
        </w:rPr>
        <w:t> </w:t>
      </w:r>
      <w:r>
        <w:rPr>
          <w:sz w:val="22"/>
        </w:rPr>
        <w:t>situation or jeopardize the chance of peaceful and fraternal settlement and to report on the results of these negotiations to the next Assembly of the Heads of State and Government of the Organization of African Unity.</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2063" w:right="2044"/>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SECOND ORDINARY SESSION OF THE COUNCIL OF MINISTERS HELD IN LAGOS, NIGERIA, FROM 24 TO 29 FEBRUARY 1964</dc:title>
  <dcterms:created xsi:type="dcterms:W3CDTF">2023-06-06T12:53:07Z</dcterms:created>
  <dcterms:modified xsi:type="dcterms:W3CDTF">2023-06-06T12:53:07Z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