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TERRITORIES</w:t>
      </w:r>
      <w:r>
        <w:rPr>
          <w:spacing w:val="13"/>
          <w:u w:val="single"/>
        </w:rPr>
        <w:t> </w:t>
      </w:r>
      <w:r>
        <w:rPr>
          <w:u w:val="single"/>
        </w:rPr>
        <w:t>UNDER</w:t>
      </w:r>
      <w:r>
        <w:rPr>
          <w:spacing w:val="13"/>
          <w:u w:val="single"/>
        </w:rPr>
        <w:t> </w:t>
      </w:r>
      <w:r>
        <w:rPr>
          <w:u w:val="single"/>
        </w:rPr>
        <w:t>PORTUGESE</w:t>
      </w:r>
      <w:r>
        <w:rPr>
          <w:spacing w:val="13"/>
          <w:u w:val="single"/>
        </w:rPr>
        <w:t> </w:t>
      </w:r>
      <w:r>
        <w:rPr>
          <w:spacing w:val="-2"/>
          <w:u w:val="single"/>
        </w:rPr>
        <w:t>DOMINATION</w:t>
      </w:r>
    </w:p>
    <w:p>
      <w:pPr>
        <w:pStyle w:val="BodyText"/>
        <w:rPr>
          <w:b/>
          <w:sz w:val="20"/>
        </w:rPr>
      </w:pPr>
    </w:p>
    <w:p>
      <w:pPr>
        <w:pStyle w:val="BodyText"/>
        <w:spacing w:before="10"/>
        <w:rPr>
          <w:b/>
          <w:sz w:val="16"/>
        </w:rPr>
      </w:pPr>
    </w:p>
    <w:p>
      <w:pPr>
        <w:pStyle w:val="BodyText"/>
        <w:spacing w:line="364" w:lineRule="auto" w:before="96"/>
        <w:ind w:left="171" w:right="167" w:firstLine="676"/>
        <w:jc w:val="both"/>
      </w:pPr>
      <w:r>
        <w:rPr/>
        <w:t>The Council of Minister meeting in its Third Ordinary Session in Cairo, U.A.R., from 13 to 17 July 1964,</w:t>
      </w:r>
    </w:p>
    <w:p>
      <w:pPr>
        <w:pStyle w:val="BodyText"/>
        <w:spacing w:before="6"/>
        <w:rPr>
          <w:sz w:val="34"/>
        </w:rPr>
      </w:pPr>
    </w:p>
    <w:p>
      <w:pPr>
        <w:spacing w:line="369" w:lineRule="auto" w:before="0"/>
        <w:ind w:left="171" w:right="152" w:firstLine="676"/>
        <w:jc w:val="both"/>
        <w:rPr>
          <w:sz w:val="22"/>
        </w:rPr>
      </w:pPr>
      <w:r>
        <w:rPr>
          <w:b/>
          <w:sz w:val="22"/>
          <w:u w:val="single"/>
        </w:rPr>
        <w:t>Having considered</w:t>
      </w:r>
      <w:r>
        <w:rPr>
          <w:b/>
          <w:sz w:val="22"/>
        </w:rPr>
        <w:t> </w:t>
      </w:r>
      <w:r>
        <w:rPr>
          <w:sz w:val="22"/>
        </w:rPr>
        <w:t>the situation in the African Territories under Portuguese</w:t>
      </w:r>
      <w:r>
        <w:rPr>
          <w:spacing w:val="40"/>
          <w:sz w:val="22"/>
        </w:rPr>
        <w:t> </w:t>
      </w:r>
      <w:r>
        <w:rPr>
          <w:spacing w:val="-2"/>
          <w:sz w:val="22"/>
        </w:rPr>
        <w:t>domination,</w:t>
      </w:r>
    </w:p>
    <w:p>
      <w:pPr>
        <w:pStyle w:val="BodyText"/>
        <w:spacing w:before="8"/>
        <w:rPr>
          <w:sz w:val="33"/>
        </w:rPr>
      </w:pPr>
    </w:p>
    <w:p>
      <w:pPr>
        <w:pStyle w:val="BodyText"/>
        <w:spacing w:line="369" w:lineRule="auto"/>
        <w:ind w:left="171" w:right="147" w:firstLine="676"/>
        <w:jc w:val="both"/>
      </w:pPr>
      <w:r>
        <w:rPr>
          <w:b/>
          <w:u w:val="single"/>
        </w:rPr>
        <w:t>Noting</w:t>
      </w:r>
      <w:r>
        <w:rPr>
          <w:b/>
          <w:spacing w:val="40"/>
          <w:u w:val="single"/>
        </w:rPr>
        <w:t> </w:t>
      </w:r>
      <w:r>
        <w:rPr>
          <w:b/>
          <w:u w:val="single"/>
        </w:rPr>
        <w:t>with</w:t>
      </w:r>
      <w:r>
        <w:rPr>
          <w:b/>
          <w:spacing w:val="40"/>
          <w:u w:val="single"/>
        </w:rPr>
        <w:t> </w:t>
      </w:r>
      <w:r>
        <w:rPr>
          <w:b/>
          <w:u w:val="single"/>
        </w:rPr>
        <w:t>deep</w:t>
      </w:r>
      <w:r>
        <w:rPr>
          <w:b/>
          <w:spacing w:val="40"/>
          <w:u w:val="single"/>
        </w:rPr>
        <w:t> </w:t>
      </w:r>
      <w:r>
        <w:rPr>
          <w:b/>
          <w:u w:val="single"/>
        </w:rPr>
        <w:t>concern</w:t>
      </w:r>
      <w:r>
        <w:rPr>
          <w:b/>
          <w:spacing w:val="40"/>
        </w:rPr>
        <w:t> </w:t>
      </w:r>
      <w:r>
        <w:rPr/>
        <w:t>the</w:t>
      </w:r>
      <w:r>
        <w:rPr>
          <w:spacing w:val="40"/>
        </w:rPr>
        <w:t> </w:t>
      </w:r>
      <w:r>
        <w:rPr/>
        <w:t>adamant</w:t>
      </w:r>
      <w:r>
        <w:rPr>
          <w:spacing w:val="40"/>
        </w:rPr>
        <w:t> </w:t>
      </w:r>
      <w:r>
        <w:rPr/>
        <w:t>refusal</w:t>
      </w:r>
      <w:r>
        <w:rPr>
          <w:spacing w:val="40"/>
        </w:rPr>
        <w:t> </w:t>
      </w:r>
      <w:r>
        <w:rPr/>
        <w:t>of</w:t>
      </w:r>
      <w:r>
        <w:rPr>
          <w:spacing w:val="40"/>
        </w:rPr>
        <w:t> </w:t>
      </w:r>
      <w:r>
        <w:rPr/>
        <w:t>Portugal</w:t>
      </w:r>
      <w:r>
        <w:rPr>
          <w:spacing w:val="40"/>
        </w:rPr>
        <w:t> </w:t>
      </w:r>
      <w:r>
        <w:rPr/>
        <w:t>to</w:t>
      </w:r>
      <w:r>
        <w:rPr>
          <w:spacing w:val="40"/>
        </w:rPr>
        <w:t> </w:t>
      </w:r>
      <w:r>
        <w:rPr/>
        <w:t>recognize</w:t>
      </w:r>
      <w:r>
        <w:rPr>
          <w:spacing w:val="40"/>
        </w:rPr>
        <w:t> </w:t>
      </w:r>
      <w:r>
        <w:rPr/>
        <w:t>the inalienable right of the African peoples under its domination to self-determination and </w:t>
      </w:r>
      <w:r>
        <w:rPr>
          <w:spacing w:val="-2"/>
        </w:rPr>
        <w:t>independence,</w:t>
      </w:r>
    </w:p>
    <w:p>
      <w:pPr>
        <w:pStyle w:val="BodyText"/>
        <w:rPr>
          <w:sz w:val="34"/>
        </w:rPr>
      </w:pPr>
    </w:p>
    <w:p>
      <w:pPr>
        <w:pStyle w:val="BodyText"/>
        <w:spacing w:line="367" w:lineRule="auto"/>
        <w:ind w:left="171" w:right="153" w:firstLine="676"/>
        <w:jc w:val="both"/>
      </w:pPr>
      <w:r>
        <w:rPr>
          <w:b/>
          <w:u w:val="single"/>
        </w:rPr>
        <w:t>Recalling</w:t>
      </w:r>
      <w:r>
        <w:rPr>
          <w:b/>
        </w:rPr>
        <w:t> </w:t>
      </w:r>
      <w:r>
        <w:rPr/>
        <w:t>the resolution on Decolonization adopted by the Conference of Heads of</w:t>
      </w:r>
      <w:r>
        <w:rPr>
          <w:spacing w:val="40"/>
        </w:rPr>
        <w:t> </w:t>
      </w:r>
      <w:r>
        <w:rPr/>
        <w:t>State</w:t>
      </w:r>
      <w:r>
        <w:rPr>
          <w:spacing w:val="36"/>
        </w:rPr>
        <w:t> </w:t>
      </w:r>
      <w:r>
        <w:rPr/>
        <w:t>and</w:t>
      </w:r>
      <w:r>
        <w:rPr>
          <w:spacing w:val="36"/>
        </w:rPr>
        <w:t> </w:t>
      </w:r>
      <w:r>
        <w:rPr/>
        <w:t>Government,</w:t>
      </w:r>
      <w:r>
        <w:rPr>
          <w:spacing w:val="36"/>
        </w:rPr>
        <w:t> </w:t>
      </w:r>
      <w:r>
        <w:rPr/>
        <w:t>in</w:t>
      </w:r>
      <w:r>
        <w:rPr>
          <w:spacing w:val="35"/>
        </w:rPr>
        <w:t> </w:t>
      </w:r>
      <w:r>
        <w:rPr/>
        <w:t>Addis</w:t>
      </w:r>
      <w:r>
        <w:rPr>
          <w:spacing w:val="35"/>
        </w:rPr>
        <w:t> </w:t>
      </w:r>
      <w:r>
        <w:rPr/>
        <w:t>Ababa</w:t>
      </w:r>
      <w:r>
        <w:rPr>
          <w:spacing w:val="36"/>
        </w:rPr>
        <w:t> </w:t>
      </w:r>
      <w:r>
        <w:rPr/>
        <w:t>in</w:t>
      </w:r>
      <w:r>
        <w:rPr>
          <w:spacing w:val="35"/>
        </w:rPr>
        <w:t> </w:t>
      </w:r>
      <w:r>
        <w:rPr/>
        <w:t>May</w:t>
      </w:r>
      <w:r>
        <w:rPr>
          <w:spacing w:val="35"/>
        </w:rPr>
        <w:t> </w:t>
      </w:r>
      <w:r>
        <w:rPr/>
        <w:t>1963,</w:t>
      </w:r>
      <w:r>
        <w:rPr>
          <w:spacing w:val="36"/>
        </w:rPr>
        <w:t> </w:t>
      </w:r>
      <w:r>
        <w:rPr/>
        <w:t>in</w:t>
      </w:r>
      <w:r>
        <w:rPr>
          <w:spacing w:val="35"/>
        </w:rPr>
        <w:t> </w:t>
      </w:r>
      <w:r>
        <w:rPr/>
        <w:t>particular</w:t>
      </w:r>
      <w:r>
        <w:rPr>
          <w:spacing w:val="36"/>
        </w:rPr>
        <w:t> </w:t>
      </w:r>
      <w:r>
        <w:rPr/>
        <w:t>its</w:t>
      </w:r>
      <w:r>
        <w:rPr>
          <w:spacing w:val="35"/>
        </w:rPr>
        <w:t> </w:t>
      </w:r>
      <w:r>
        <w:rPr/>
        <w:t>operative</w:t>
      </w:r>
      <w:r>
        <w:rPr>
          <w:spacing w:val="36"/>
        </w:rPr>
        <w:t> </w:t>
      </w:r>
      <w:r>
        <w:rPr/>
        <w:t>paragraphs 7,8, and 10.</w:t>
      </w:r>
    </w:p>
    <w:p>
      <w:pPr>
        <w:pStyle w:val="BodyText"/>
        <w:spacing w:before="3"/>
        <w:rPr>
          <w:sz w:val="34"/>
        </w:rPr>
      </w:pPr>
    </w:p>
    <w:p>
      <w:pPr>
        <w:pStyle w:val="BodyText"/>
        <w:spacing w:line="369" w:lineRule="auto"/>
        <w:ind w:left="171" w:right="171" w:firstLine="676"/>
        <w:jc w:val="both"/>
      </w:pPr>
      <w:r>
        <w:rPr>
          <w:b/>
          <w:u w:val="single"/>
        </w:rPr>
        <w:t>Convinced</w:t>
      </w:r>
      <w:r>
        <w:rPr>
          <w:b/>
        </w:rPr>
        <w:t> </w:t>
      </w:r>
      <w:r>
        <w:rPr/>
        <w:t>that only concerted, positive action by all independent African States and the nationalist movements in these territories will secure their liberation,</w:t>
      </w:r>
    </w:p>
    <w:p>
      <w:pPr>
        <w:pStyle w:val="BodyText"/>
        <w:spacing w:before="8"/>
        <w:rPr>
          <w:sz w:val="33"/>
        </w:rPr>
      </w:pPr>
    </w:p>
    <w:p>
      <w:pPr>
        <w:pStyle w:val="BodyText"/>
        <w:spacing w:line="369" w:lineRule="auto"/>
        <w:ind w:left="171" w:right="157" w:firstLine="676"/>
        <w:jc w:val="both"/>
      </w:pPr>
      <w:r>
        <w:rPr>
          <w:b/>
          <w:u w:val="single"/>
        </w:rPr>
        <w:t>Decides</w:t>
      </w:r>
      <w:r>
        <w:rPr>
          <w:b/>
        </w:rPr>
        <w:t> </w:t>
      </w:r>
      <w:r>
        <w:rPr/>
        <w:t>to submit to the First Assembly of Heads of State and Government the following recommendations:</w:t>
      </w:r>
    </w:p>
    <w:p>
      <w:pPr>
        <w:pStyle w:val="BodyText"/>
        <w:rPr>
          <w:sz w:val="24"/>
        </w:rPr>
      </w:pPr>
    </w:p>
    <w:p>
      <w:pPr>
        <w:pStyle w:val="BodyText"/>
        <w:rPr>
          <w:sz w:val="24"/>
        </w:rPr>
      </w:pPr>
    </w:p>
    <w:p>
      <w:pPr>
        <w:pStyle w:val="BodyText"/>
        <w:spacing w:before="6"/>
        <w:rPr>
          <w:sz w:val="19"/>
        </w:rPr>
      </w:pPr>
    </w:p>
    <w:p>
      <w:pPr>
        <w:pStyle w:val="ListParagraph"/>
        <w:numPr>
          <w:ilvl w:val="0"/>
          <w:numId w:val="1"/>
        </w:numPr>
        <w:tabs>
          <w:tab w:pos="1184" w:val="left" w:leader="none"/>
        </w:tabs>
        <w:spacing w:line="369" w:lineRule="auto" w:before="0" w:after="0"/>
        <w:ind w:left="1183" w:right="153" w:hanging="336"/>
        <w:jc w:val="both"/>
        <w:rPr>
          <w:sz w:val="22"/>
        </w:rPr>
      </w:pPr>
      <w:r>
        <w:rPr>
          <w:b/>
          <w:sz w:val="22"/>
        </w:rPr>
        <w:t>TO CONDEMN </w:t>
      </w:r>
      <w:r>
        <w:rPr>
          <w:sz w:val="22"/>
        </w:rPr>
        <w:t>Portugal for its persistent refusal to recognize the right of the peoples</w:t>
      </w:r>
      <w:r>
        <w:rPr>
          <w:spacing w:val="40"/>
          <w:sz w:val="22"/>
        </w:rPr>
        <w:t> </w:t>
      </w:r>
      <w:r>
        <w:rPr>
          <w:sz w:val="22"/>
        </w:rPr>
        <w:t>under</w:t>
      </w:r>
      <w:r>
        <w:rPr>
          <w:spacing w:val="40"/>
          <w:sz w:val="22"/>
        </w:rPr>
        <w:t> </w:t>
      </w:r>
      <w:r>
        <w:rPr>
          <w:sz w:val="22"/>
        </w:rPr>
        <w:t>is domination to self-determination and independence and for its</w:t>
      </w:r>
      <w:r>
        <w:rPr>
          <w:spacing w:val="40"/>
          <w:sz w:val="22"/>
        </w:rPr>
        <w:t> </w:t>
      </w:r>
      <w:r>
        <w:rPr>
          <w:sz w:val="22"/>
        </w:rPr>
        <w:t>non-compliance with the resolutions of the General Assembly and the Security Council of the United Nations;</w:t>
      </w:r>
    </w:p>
    <w:p>
      <w:pPr>
        <w:pStyle w:val="BodyText"/>
        <w:spacing w:before="11"/>
        <w:rPr>
          <w:sz w:val="33"/>
        </w:rPr>
      </w:pPr>
    </w:p>
    <w:p>
      <w:pPr>
        <w:pStyle w:val="ListParagraph"/>
        <w:numPr>
          <w:ilvl w:val="0"/>
          <w:numId w:val="1"/>
        </w:numPr>
        <w:tabs>
          <w:tab w:pos="1184" w:val="left" w:leader="none"/>
        </w:tabs>
        <w:spacing w:line="369" w:lineRule="auto" w:before="0" w:after="0"/>
        <w:ind w:left="1184" w:right="174" w:hanging="336"/>
        <w:jc w:val="both"/>
        <w:rPr>
          <w:sz w:val="22"/>
        </w:rPr>
      </w:pPr>
      <w:r>
        <w:rPr>
          <w:b/>
          <w:sz w:val="22"/>
        </w:rPr>
        <w:t>TO CALL </w:t>
      </w:r>
      <w:r>
        <w:rPr>
          <w:sz w:val="22"/>
        </w:rPr>
        <w:t>on African nationalist movements in the Territories under Portuguese domination to intensify their struggle for their immediate liberation;</w:t>
      </w:r>
    </w:p>
    <w:p>
      <w:pPr>
        <w:pStyle w:val="BodyText"/>
        <w:spacing w:before="7"/>
        <w:rPr>
          <w:sz w:val="33"/>
        </w:rPr>
      </w:pPr>
    </w:p>
    <w:p>
      <w:pPr>
        <w:pStyle w:val="ListParagraph"/>
        <w:numPr>
          <w:ilvl w:val="0"/>
          <w:numId w:val="1"/>
        </w:numPr>
        <w:tabs>
          <w:tab w:pos="1184" w:val="left" w:leader="none"/>
        </w:tabs>
        <w:spacing w:line="369" w:lineRule="auto" w:before="1" w:after="0"/>
        <w:ind w:left="1184" w:right="160" w:hanging="336"/>
        <w:jc w:val="both"/>
        <w:rPr>
          <w:sz w:val="22"/>
        </w:rPr>
      </w:pPr>
      <w:r>
        <w:rPr>
          <w:b/>
          <w:sz w:val="22"/>
        </w:rPr>
        <w:t>TO IMPRESS </w:t>
      </w:r>
      <w:r>
        <w:rPr>
          <w:sz w:val="22"/>
        </w:rPr>
        <w:t>on all African States that it is indispensable to implement in all its aspects the decision taken in Addis Ababa in May 1963 to boycott Portugal;</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4" w:val="left" w:leader="none"/>
        </w:tabs>
        <w:spacing w:line="374" w:lineRule="auto" w:before="5" w:after="0"/>
        <w:ind w:left="1184" w:right="158" w:hanging="336"/>
        <w:jc w:val="both"/>
        <w:rPr>
          <w:sz w:val="22"/>
        </w:rPr>
      </w:pPr>
      <w:r>
        <w:rPr>
          <w:b/>
          <w:sz w:val="22"/>
        </w:rPr>
        <w:t>TO ESTABLISH </w:t>
      </w:r>
      <w:r>
        <w:rPr>
          <w:sz w:val="22"/>
        </w:rPr>
        <w:t>a machinery within the OAU General Secretariat, which would</w:t>
      </w:r>
      <w:r>
        <w:rPr>
          <w:spacing w:val="40"/>
          <w:sz w:val="22"/>
        </w:rPr>
        <w:t> </w:t>
      </w:r>
      <w:r>
        <w:rPr>
          <w:sz w:val="22"/>
        </w:rPr>
        <w:t>be entrusted </w:t>
      </w:r>
      <w:r>
        <w:rPr>
          <w:sz w:val="22"/>
          <w:u w:val="single"/>
        </w:rPr>
        <w:t>inter-alia</w:t>
      </w:r>
      <w:r>
        <w:rPr>
          <w:sz w:val="22"/>
        </w:rPr>
        <w:t>, with the following function’s:</w:t>
      </w:r>
    </w:p>
    <w:p>
      <w:pPr>
        <w:pStyle w:val="BodyText"/>
        <w:spacing w:before="2"/>
        <w:rPr>
          <w:sz w:val="33"/>
        </w:rPr>
      </w:pPr>
    </w:p>
    <w:p>
      <w:pPr>
        <w:pStyle w:val="ListParagraph"/>
        <w:numPr>
          <w:ilvl w:val="1"/>
          <w:numId w:val="1"/>
        </w:numPr>
        <w:tabs>
          <w:tab w:pos="1525" w:val="left" w:leader="none"/>
        </w:tabs>
        <w:spacing w:line="364" w:lineRule="auto" w:before="0" w:after="0"/>
        <w:ind w:left="1524" w:right="157" w:hanging="341"/>
        <w:jc w:val="left"/>
        <w:rPr>
          <w:sz w:val="22"/>
        </w:rPr>
      </w:pPr>
      <w:r>
        <w:rPr>
          <w:sz w:val="22"/>
        </w:rPr>
        <w:t>to</w:t>
      </w:r>
      <w:r>
        <w:rPr>
          <w:spacing w:val="40"/>
          <w:sz w:val="22"/>
        </w:rPr>
        <w:t> </w:t>
      </w:r>
      <w:r>
        <w:rPr>
          <w:sz w:val="22"/>
        </w:rPr>
        <w:t>co-ordinate</w:t>
      </w:r>
      <w:r>
        <w:rPr>
          <w:spacing w:val="40"/>
          <w:sz w:val="22"/>
        </w:rPr>
        <w:t> </w:t>
      </w:r>
      <w:r>
        <w:rPr>
          <w:sz w:val="22"/>
        </w:rPr>
        <w:t>among</w:t>
      </w:r>
      <w:r>
        <w:rPr>
          <w:spacing w:val="40"/>
          <w:sz w:val="22"/>
        </w:rPr>
        <w:t> </w:t>
      </w:r>
      <w:r>
        <w:rPr>
          <w:sz w:val="22"/>
        </w:rPr>
        <w:t>the</w:t>
      </w:r>
      <w:r>
        <w:rPr>
          <w:spacing w:val="40"/>
          <w:sz w:val="22"/>
        </w:rPr>
        <w:t> </w:t>
      </w:r>
      <w:r>
        <w:rPr>
          <w:sz w:val="22"/>
        </w:rPr>
        <w:t>Member</w:t>
      </w:r>
      <w:r>
        <w:rPr>
          <w:spacing w:val="40"/>
          <w:sz w:val="22"/>
        </w:rPr>
        <w:t> </w:t>
      </w:r>
      <w:r>
        <w:rPr>
          <w:sz w:val="22"/>
        </w:rPr>
        <w:t>States</w:t>
      </w:r>
      <w:r>
        <w:rPr>
          <w:spacing w:val="40"/>
          <w:sz w:val="22"/>
        </w:rPr>
        <w:t> </w:t>
      </w:r>
      <w:r>
        <w:rPr>
          <w:sz w:val="22"/>
        </w:rPr>
        <w:t>the</w:t>
      </w:r>
      <w:r>
        <w:rPr>
          <w:spacing w:val="40"/>
          <w:sz w:val="22"/>
        </w:rPr>
        <w:t> </w:t>
      </w:r>
      <w:r>
        <w:rPr>
          <w:sz w:val="22"/>
        </w:rPr>
        <w:t>strictest</w:t>
      </w:r>
      <w:r>
        <w:rPr>
          <w:spacing w:val="40"/>
          <w:sz w:val="22"/>
        </w:rPr>
        <w:t> </w:t>
      </w:r>
      <w:r>
        <w:rPr>
          <w:sz w:val="22"/>
        </w:rPr>
        <w:t>implementation</w:t>
      </w:r>
      <w:r>
        <w:rPr>
          <w:spacing w:val="40"/>
          <w:sz w:val="22"/>
        </w:rPr>
        <w:t> </w:t>
      </w:r>
      <w:r>
        <w:rPr>
          <w:sz w:val="22"/>
        </w:rPr>
        <w:t>of</w:t>
      </w:r>
      <w:r>
        <w:rPr>
          <w:spacing w:val="40"/>
          <w:sz w:val="22"/>
        </w:rPr>
        <w:t> </w:t>
      </w:r>
      <w:r>
        <w:rPr>
          <w:sz w:val="22"/>
        </w:rPr>
        <w:t>all relevant resolutions of the OAU,</w:t>
      </w:r>
    </w:p>
    <w:p>
      <w:pPr>
        <w:pStyle w:val="BodyText"/>
        <w:spacing w:before="6"/>
        <w:rPr>
          <w:sz w:val="34"/>
        </w:rPr>
      </w:pPr>
    </w:p>
    <w:p>
      <w:pPr>
        <w:pStyle w:val="ListParagraph"/>
        <w:numPr>
          <w:ilvl w:val="1"/>
          <w:numId w:val="1"/>
        </w:numPr>
        <w:tabs>
          <w:tab w:pos="1525" w:val="left" w:leader="none"/>
        </w:tabs>
        <w:spacing w:line="369" w:lineRule="auto" w:before="1" w:after="0"/>
        <w:ind w:left="1524" w:right="150" w:hanging="341"/>
        <w:jc w:val="left"/>
        <w:rPr>
          <w:sz w:val="22"/>
        </w:rPr>
      </w:pPr>
      <w:r>
        <w:rPr>
          <w:sz w:val="22"/>
        </w:rPr>
        <w:t>to harmonize co-operation with friendly States with a view to implementing an effective boycott of Portugal,</w:t>
      </w:r>
    </w:p>
    <w:p>
      <w:pPr>
        <w:pStyle w:val="BodyText"/>
        <w:spacing w:before="7"/>
        <w:rPr>
          <w:sz w:val="33"/>
        </w:rPr>
      </w:pPr>
    </w:p>
    <w:p>
      <w:pPr>
        <w:pStyle w:val="ListParagraph"/>
        <w:numPr>
          <w:ilvl w:val="0"/>
          <w:numId w:val="1"/>
        </w:numPr>
        <w:tabs>
          <w:tab w:pos="1184" w:val="left" w:leader="none"/>
        </w:tabs>
        <w:spacing w:line="369" w:lineRule="auto" w:before="0" w:after="0"/>
        <w:ind w:left="1184" w:right="154" w:hanging="336"/>
        <w:jc w:val="both"/>
        <w:rPr>
          <w:sz w:val="22"/>
        </w:rPr>
      </w:pPr>
      <w:r>
        <w:rPr>
          <w:b/>
          <w:sz w:val="22"/>
        </w:rPr>
        <w:t>TO</w:t>
      </w:r>
      <w:r>
        <w:rPr>
          <w:b/>
          <w:spacing w:val="40"/>
          <w:sz w:val="22"/>
        </w:rPr>
        <w:t> </w:t>
      </w:r>
      <w:r>
        <w:rPr>
          <w:b/>
          <w:sz w:val="22"/>
        </w:rPr>
        <w:t>EXTEND</w:t>
      </w:r>
      <w:r>
        <w:rPr>
          <w:b/>
          <w:spacing w:val="40"/>
          <w:sz w:val="22"/>
        </w:rPr>
        <w:t> </w:t>
      </w:r>
      <w:r>
        <w:rPr>
          <w:sz w:val="22"/>
        </w:rPr>
        <w:t>the</w:t>
      </w:r>
      <w:r>
        <w:rPr>
          <w:spacing w:val="40"/>
          <w:sz w:val="22"/>
        </w:rPr>
        <w:t> </w:t>
      </w:r>
      <w:r>
        <w:rPr>
          <w:sz w:val="22"/>
        </w:rPr>
        <w:t>mandate</w:t>
      </w:r>
      <w:r>
        <w:rPr>
          <w:spacing w:val="40"/>
          <w:sz w:val="22"/>
        </w:rPr>
        <w:t> </w:t>
      </w:r>
      <w:r>
        <w:rPr>
          <w:sz w:val="22"/>
        </w:rPr>
        <w:t>of</w:t>
      </w:r>
      <w:r>
        <w:rPr>
          <w:spacing w:val="40"/>
          <w:sz w:val="22"/>
        </w:rPr>
        <w:t> </w:t>
      </w:r>
      <w:r>
        <w:rPr>
          <w:sz w:val="22"/>
        </w:rPr>
        <w:t>the</w:t>
      </w:r>
      <w:r>
        <w:rPr>
          <w:spacing w:val="40"/>
          <w:sz w:val="22"/>
        </w:rPr>
        <w:t> </w:t>
      </w:r>
      <w:r>
        <w:rPr>
          <w:sz w:val="22"/>
        </w:rPr>
        <w:t>Foreign</w:t>
      </w:r>
      <w:r>
        <w:rPr>
          <w:spacing w:val="40"/>
          <w:sz w:val="22"/>
        </w:rPr>
        <w:t> </w:t>
      </w:r>
      <w:r>
        <w:rPr>
          <w:sz w:val="22"/>
        </w:rPr>
        <w:t>Ministers</w:t>
      </w:r>
      <w:r>
        <w:rPr>
          <w:spacing w:val="40"/>
          <w:sz w:val="22"/>
        </w:rPr>
        <w:t> </w:t>
      </w:r>
      <w:r>
        <w:rPr>
          <w:sz w:val="22"/>
        </w:rPr>
        <w:t>of</w:t>
      </w:r>
      <w:r>
        <w:rPr>
          <w:spacing w:val="40"/>
          <w:sz w:val="22"/>
        </w:rPr>
        <w:t> </w:t>
      </w:r>
      <w:r>
        <w:rPr>
          <w:sz w:val="22"/>
        </w:rPr>
        <w:t>Liberia,</w:t>
      </w:r>
      <w:r>
        <w:rPr>
          <w:spacing w:val="40"/>
          <w:sz w:val="22"/>
        </w:rPr>
        <w:t> </w:t>
      </w:r>
      <w:r>
        <w:rPr>
          <w:sz w:val="22"/>
        </w:rPr>
        <w:t>Madagascar, Sierra Leone and Tunisia commissioned by the conference of Heads of State and Government to represent OAU Member States at the deliberations of the Security Council on the question of Territories under Portuguese domination.</w:t>
      </w:r>
    </w:p>
    <w:sectPr>
      <w:headerReference w:type="default" r:id="rId6"/>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1.320007pt;margin-top:34.068241pt;width:78.350pt;height:14.5pt;mso-position-horizontal-relative:page;mso-position-vertical-relative:page;z-index:-15764992" type="#_x0000_t202" id="docshape1" filled="false" stroked="false">
          <v:textbox inset="0,0,0,0">
            <w:txbxContent>
              <w:p>
                <w:pPr>
                  <w:pStyle w:val="BodyText"/>
                  <w:spacing w:before="15"/>
                  <w:ind w:left="20"/>
                </w:pPr>
                <w:r>
                  <w:rPr/>
                  <w:t>CM/Res.</w:t>
                </w:r>
                <w:r>
                  <w:rPr>
                    <w:spacing w:val="15"/>
                  </w:rPr>
                  <w:t> </w:t>
                </w:r>
                <w:r>
                  <w:rPr/>
                  <w:t>34</w:t>
                </w:r>
                <w:r>
                  <w:rPr>
                    <w:spacing w:val="16"/>
                  </w:rPr>
                  <w:t> </w:t>
                </w:r>
                <w:r>
                  <w:rPr>
                    <w:spacing w:val="-2"/>
                  </w:rPr>
                  <w:t>(III)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1.320007pt;margin-top:34.068241pt;width:78.350pt;height:14.5pt;mso-position-horizontal-relative:page;mso-position-vertical-relative:page;z-index:-15764480" type="#_x0000_t202" id="docshape2" filled="false" stroked="false">
          <v:textbox inset="0,0,0,0">
            <w:txbxContent>
              <w:p>
                <w:pPr>
                  <w:pStyle w:val="BodyText"/>
                  <w:spacing w:before="15"/>
                  <w:ind w:left="20"/>
                </w:pPr>
                <w:r>
                  <w:rPr/>
                  <w:t>CM/Res.</w:t>
                </w:r>
                <w:r>
                  <w:rPr>
                    <w:spacing w:val="15"/>
                  </w:rPr>
                  <w:t> </w:t>
                </w:r>
                <w:r>
                  <w:rPr/>
                  <w:t>31</w:t>
                </w:r>
                <w:r>
                  <w:rPr>
                    <w:spacing w:val="16"/>
                  </w:rPr>
                  <w:t> </w:t>
                </w:r>
                <w:r>
                  <w:rPr>
                    <w:spacing w:val="-2"/>
                  </w:rPr>
                  <w:t>(III)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1"/>
      <w:numFmt w:val="lowerLetter"/>
      <w:lvlText w:val="(%2)"/>
      <w:lvlJc w:val="left"/>
      <w:pPr>
        <w:ind w:left="1524" w:hanging="341"/>
        <w:jc w:val="left"/>
      </w:pPr>
      <w:rPr>
        <w:rFonts w:hint="default" w:ascii="Times New Roman" w:hAnsi="Times New Roman" w:eastAsia="Times New Roman" w:cs="Times New Roman"/>
        <w:b w:val="0"/>
        <w:bCs w:val="0"/>
        <w:i w:val="0"/>
        <w:iCs w:val="0"/>
        <w:w w:val="102"/>
        <w:sz w:val="22"/>
        <w:szCs w:val="22"/>
        <w:lang w:val="en-US" w:eastAsia="en-US" w:bidi="ar-SA"/>
      </w:rPr>
    </w:lvl>
    <w:lvl w:ilvl="2">
      <w:start w:val="0"/>
      <w:numFmt w:val="bullet"/>
      <w:lvlText w:val="•"/>
      <w:lvlJc w:val="left"/>
      <w:pPr>
        <w:ind w:left="2328" w:hanging="341"/>
      </w:pPr>
      <w:rPr>
        <w:rFonts w:hint="default"/>
        <w:lang w:val="en-US" w:eastAsia="en-US" w:bidi="ar-SA"/>
      </w:rPr>
    </w:lvl>
    <w:lvl w:ilvl="3">
      <w:start w:val="0"/>
      <w:numFmt w:val="bullet"/>
      <w:lvlText w:val="•"/>
      <w:lvlJc w:val="left"/>
      <w:pPr>
        <w:ind w:left="3137" w:hanging="341"/>
      </w:pPr>
      <w:rPr>
        <w:rFonts w:hint="default"/>
        <w:lang w:val="en-US" w:eastAsia="en-US" w:bidi="ar-SA"/>
      </w:rPr>
    </w:lvl>
    <w:lvl w:ilvl="4">
      <w:start w:val="0"/>
      <w:numFmt w:val="bullet"/>
      <w:lvlText w:val="•"/>
      <w:lvlJc w:val="left"/>
      <w:pPr>
        <w:ind w:left="3946" w:hanging="341"/>
      </w:pPr>
      <w:rPr>
        <w:rFonts w:hint="default"/>
        <w:lang w:val="en-US" w:eastAsia="en-US" w:bidi="ar-SA"/>
      </w:rPr>
    </w:lvl>
    <w:lvl w:ilvl="5">
      <w:start w:val="0"/>
      <w:numFmt w:val="bullet"/>
      <w:lvlText w:val="•"/>
      <w:lvlJc w:val="left"/>
      <w:pPr>
        <w:ind w:left="4755" w:hanging="341"/>
      </w:pPr>
      <w:rPr>
        <w:rFonts w:hint="default"/>
        <w:lang w:val="en-US" w:eastAsia="en-US" w:bidi="ar-SA"/>
      </w:rPr>
    </w:lvl>
    <w:lvl w:ilvl="6">
      <w:start w:val="0"/>
      <w:numFmt w:val="bullet"/>
      <w:lvlText w:val="•"/>
      <w:lvlJc w:val="left"/>
      <w:pPr>
        <w:ind w:left="5564" w:hanging="341"/>
      </w:pPr>
      <w:rPr>
        <w:rFonts w:hint="default"/>
        <w:lang w:val="en-US" w:eastAsia="en-US" w:bidi="ar-SA"/>
      </w:rPr>
    </w:lvl>
    <w:lvl w:ilvl="7">
      <w:start w:val="0"/>
      <w:numFmt w:val="bullet"/>
      <w:lvlText w:val="•"/>
      <w:lvlJc w:val="left"/>
      <w:pPr>
        <w:ind w:left="6373" w:hanging="341"/>
      </w:pPr>
      <w:rPr>
        <w:rFonts w:hint="default"/>
        <w:lang w:val="en-US" w:eastAsia="en-US" w:bidi="ar-SA"/>
      </w:rPr>
    </w:lvl>
    <w:lvl w:ilvl="8">
      <w:start w:val="0"/>
      <w:numFmt w:val="bullet"/>
      <w:lvlText w:val="•"/>
      <w:lvlJc w:val="left"/>
      <w:pPr>
        <w:ind w:left="7182" w:hanging="34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1709" w:right="169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50"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ADOPTED BY THE THIRD ORDINARY SESSION OF THE COUNCIL OF MINISTERS HELD IN CAIRO, (U.A.R.), FROM 13 TO 17 JULY 1964</dc:title>
  <dcterms:created xsi:type="dcterms:W3CDTF">2023-06-06T12:53:46Z</dcterms:created>
  <dcterms:modified xsi:type="dcterms:W3CDTF">2023-06-06T12:53:46Z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