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THE</w:t>
      </w:r>
      <w:r>
        <w:rPr>
          <w:spacing w:val="10"/>
          <w:u w:val="single"/>
        </w:rPr>
        <w:t> </w:t>
      </w:r>
      <w:r>
        <w:rPr>
          <w:u w:val="single"/>
        </w:rPr>
        <w:t>UNITED</w:t>
      </w:r>
      <w:r>
        <w:rPr>
          <w:spacing w:val="11"/>
          <w:u w:val="single"/>
        </w:rPr>
        <w:t> </w:t>
      </w:r>
      <w:r>
        <w:rPr>
          <w:u w:val="single"/>
        </w:rPr>
        <w:t>NATIONS</w:t>
      </w:r>
      <w:r>
        <w:rPr>
          <w:spacing w:val="10"/>
          <w:u w:val="single"/>
        </w:rPr>
        <w:t> </w:t>
      </w:r>
      <w:r>
        <w:rPr>
          <w:u w:val="single"/>
        </w:rPr>
        <w:t>CONFERENCE</w:t>
      </w:r>
      <w:r>
        <w:rPr>
          <w:spacing w:val="11"/>
          <w:u w:val="single"/>
        </w:rPr>
        <w:t> </w:t>
      </w:r>
      <w:r>
        <w:rPr>
          <w:u w:val="single"/>
        </w:rPr>
        <w:t>ON</w:t>
      </w:r>
      <w:r>
        <w:rPr>
          <w:spacing w:val="11"/>
          <w:u w:val="single"/>
        </w:rPr>
        <w:t> </w:t>
      </w:r>
      <w:r>
        <w:rPr>
          <w:u w:val="single"/>
        </w:rPr>
        <w:t>TRADE</w:t>
      </w:r>
      <w:r>
        <w:rPr>
          <w:spacing w:val="10"/>
          <w:u w:val="single"/>
        </w:rPr>
        <w:t> </w:t>
      </w:r>
      <w:r>
        <w:rPr>
          <w:u w:val="single"/>
        </w:rPr>
        <w:t>AND</w:t>
      </w:r>
      <w:r>
        <w:rPr>
          <w:spacing w:val="11"/>
          <w:u w:val="single"/>
        </w:rPr>
        <w:t> </w:t>
      </w:r>
      <w:r>
        <w:rPr>
          <w:spacing w:val="-2"/>
          <w:u w:val="single"/>
        </w:rPr>
        <w:t>DEVELOPMENT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64" w:firstLine="676"/>
        <w:jc w:val="both"/>
      </w:pPr>
      <w:r>
        <w:rPr/>
        <w:t>The Council of Minister meeting in its Third Ordinary Session in Cairo, U.A.R., from</w:t>
      </w:r>
      <w:r>
        <w:rPr>
          <w:spacing w:val="40"/>
        </w:rPr>
        <w:t> </w:t>
      </w:r>
      <w:r>
        <w:rPr/>
        <w:t>13 to 17 July 1964,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40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that the United Nations Conference on Trade and Development held in Geneva, pursuant to Resolution 963 (XXXVI) of the United Nations Economic and So</w:t>
      </w:r>
      <w:r>
        <w:rPr>
          <w:spacing w:val="-14"/>
        </w:rPr>
        <w:t> </w:t>
      </w:r>
      <w:r>
        <w:rPr/>
        <w:t>cial </w:t>
      </w:r>
      <w:r>
        <w:rPr>
          <w:spacing w:val="-2"/>
        </w:rPr>
        <w:t>Council,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42" w:firstLine="676"/>
        <w:jc w:val="both"/>
      </w:pPr>
      <w:r>
        <w:rPr>
          <w:b/>
          <w:u w:val="single"/>
        </w:rPr>
        <w:t>Endorsing</w:t>
      </w:r>
      <w:r>
        <w:rPr>
          <w:b/>
          <w:spacing w:val="40"/>
        </w:rPr>
        <w:t> </w:t>
      </w:r>
      <w:r>
        <w:rPr/>
        <w:t>the co-ordinated</w:t>
      </w:r>
      <w:r>
        <w:rPr>
          <w:spacing w:val="40"/>
        </w:rPr>
        <w:t> </w:t>
      </w:r>
      <w:r>
        <w:rPr/>
        <w:t>policy followed and the joint action undertaken by the Members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conformity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Document ECOS/12/RES/I (I) of the Economic and Social Commission and Document CM/Res. 26 9II)</w:t>
      </w:r>
      <w:r>
        <w:rPr>
          <w:spacing w:val="80"/>
        </w:rPr>
        <w:t> </w:t>
      </w:r>
      <w:r>
        <w:rPr/>
        <w:t>of the Council of Ministers,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72" w:lineRule="auto" w:before="1"/>
        <w:ind w:left="171" w:right="139" w:firstLine="676"/>
        <w:jc w:val="both"/>
      </w:pPr>
      <w:r>
        <w:rPr>
          <w:b/>
          <w:u w:val="single"/>
        </w:rPr>
        <w:t>Noting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further</w:t>
      </w:r>
      <w:r>
        <w:rPr/>
        <w:t>,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satisfaction,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joint</w:t>
      </w:r>
      <w:r>
        <w:rPr>
          <w:spacing w:val="40"/>
        </w:rPr>
        <w:t> </w:t>
      </w:r>
      <w:r>
        <w:rPr/>
        <w:t>Declaration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seventy-seven developing countries issued at the conclusion of the United Nations Conference on Trade and </w:t>
      </w:r>
      <w:r>
        <w:rPr>
          <w:spacing w:val="-2"/>
        </w:rPr>
        <w:t>Development,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/>
        <w:ind w:left="171" w:right="151" w:firstLine="676"/>
        <w:jc w:val="both"/>
      </w:pPr>
      <w:r>
        <w:rPr>
          <w:b/>
          <w:u w:val="single"/>
        </w:rPr>
        <w:t>Reaffirming</w:t>
      </w:r>
      <w:r>
        <w:rPr>
          <w:b/>
          <w:spacing w:val="40"/>
        </w:rPr>
        <w:t> </w:t>
      </w:r>
      <w:r>
        <w:rPr/>
        <w:t>its belief that it is to the benefit of all concerned to strengthen and maintain the unity of the seventy-seven developing countries for future action,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39" w:hanging="336"/>
        <w:jc w:val="both"/>
        <w:rPr>
          <w:sz w:val="22"/>
        </w:rPr>
      </w:pPr>
      <w:r>
        <w:rPr>
          <w:b/>
          <w:sz w:val="22"/>
        </w:rPr>
        <w:t>RECOMMENDS </w:t>
      </w:r>
      <w:r>
        <w:rPr>
          <w:sz w:val="22"/>
        </w:rPr>
        <w:t>to all Member States of the Organization of African Unity to work in conformity with the general views and objectives, of the seventy-seven developing countries with a view to furthering the unity and solidarity of the developing countries for future action at similar conferences;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4" w:right="142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Member States elected to the Trade and Development Board, and</w:t>
      </w:r>
      <w:r>
        <w:rPr>
          <w:spacing w:val="40"/>
          <w:sz w:val="22"/>
        </w:rPr>
        <w:t> </w:t>
      </w:r>
      <w:r>
        <w:rPr>
          <w:sz w:val="22"/>
        </w:rPr>
        <w:t>those who will be elected in the future, to work in close co-operation with like- minded representatives of other developing countries so that</w:t>
      </w:r>
      <w:r>
        <w:rPr>
          <w:spacing w:val="80"/>
          <w:sz w:val="22"/>
        </w:rPr>
        <w:t> </w:t>
      </w:r>
      <w:r>
        <w:rPr>
          <w:sz w:val="22"/>
        </w:rPr>
        <w:t>the common</w:t>
      </w:r>
      <w:r>
        <w:rPr>
          <w:spacing w:val="40"/>
          <w:sz w:val="22"/>
        </w:rPr>
        <w:t> </w:t>
      </w:r>
      <w:r>
        <w:rPr>
          <w:sz w:val="22"/>
        </w:rPr>
        <w:t>objectives of the Members of OAU in particular, as well as those of other</w:t>
      </w:r>
      <w:r>
        <w:rPr>
          <w:spacing w:val="40"/>
          <w:sz w:val="22"/>
        </w:rPr>
        <w:t> </w:t>
      </w:r>
      <w:r>
        <w:rPr>
          <w:sz w:val="22"/>
        </w:rPr>
        <w:t>developing countries in general, can be realized</w:t>
      </w:r>
      <w:r>
        <w:rPr>
          <w:spacing w:val="39"/>
          <w:sz w:val="22"/>
        </w:rPr>
        <w:t> </w:t>
      </w:r>
      <w:r>
        <w:rPr>
          <w:sz w:val="22"/>
        </w:rPr>
        <w:t>within the shortest possible time;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9" w:hanging="336"/>
        <w:jc w:val="both"/>
        <w:rPr>
          <w:sz w:val="22"/>
        </w:rPr>
      </w:pPr>
      <w:r>
        <w:rPr>
          <w:b/>
          <w:sz w:val="22"/>
        </w:rPr>
        <w:t>CALLS UPON </w:t>
      </w:r>
      <w:r>
        <w:rPr>
          <w:sz w:val="22"/>
        </w:rPr>
        <w:t>the Economic and Social Commission of the OAU to consider all possible</w:t>
      </w:r>
      <w:r>
        <w:rPr>
          <w:spacing w:val="40"/>
          <w:sz w:val="22"/>
        </w:rPr>
        <w:t> </w:t>
      </w:r>
      <w:r>
        <w:rPr>
          <w:sz w:val="22"/>
        </w:rPr>
        <w:t>means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strengthening</w:t>
      </w:r>
      <w:r>
        <w:rPr>
          <w:spacing w:val="40"/>
          <w:sz w:val="22"/>
        </w:rPr>
        <w:t> </w:t>
      </w:r>
      <w:r>
        <w:rPr>
          <w:sz w:val="22"/>
        </w:rPr>
        <w:t>trade</w:t>
      </w:r>
      <w:r>
        <w:rPr>
          <w:spacing w:val="40"/>
          <w:sz w:val="22"/>
        </w:rPr>
        <w:t> </w:t>
      </w:r>
      <w:r>
        <w:rPr>
          <w:sz w:val="22"/>
        </w:rPr>
        <w:t>links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development</w:t>
      </w:r>
      <w:r>
        <w:rPr>
          <w:spacing w:val="40"/>
          <w:sz w:val="22"/>
        </w:rPr>
        <w:t> </w:t>
      </w:r>
      <w:r>
        <w:rPr>
          <w:sz w:val="22"/>
        </w:rPr>
        <w:t>efforts</w:t>
      </w:r>
      <w:r>
        <w:rPr>
          <w:spacing w:val="40"/>
          <w:sz w:val="22"/>
        </w:rPr>
        <w:t> </w:t>
      </w:r>
      <w:r>
        <w:rPr>
          <w:sz w:val="22"/>
        </w:rPr>
        <w:t>among</w:t>
      </w:r>
      <w:r>
        <w:rPr>
          <w:spacing w:val="40"/>
          <w:sz w:val="22"/>
        </w:rPr>
        <w:t> </w:t>
      </w:r>
      <w:r>
        <w:rPr>
          <w:sz w:val="22"/>
        </w:rPr>
        <w:t>its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940" w:bottom="280" w:left="1720" w:right="1720"/>
          <w:pgNumType w:start="1"/>
        </w:sectPr>
      </w:pPr>
    </w:p>
    <w:p>
      <w:pPr>
        <w:pStyle w:val="BodyText"/>
        <w:tabs>
          <w:tab w:pos="1864" w:val="left" w:leader="none"/>
          <w:tab w:pos="3430" w:val="left" w:leader="none"/>
          <w:tab w:pos="4111" w:val="left" w:leader="none"/>
          <w:tab w:pos="5079" w:val="left" w:leader="none"/>
          <w:tab w:pos="5641" w:val="left" w:leader="none"/>
          <w:tab w:pos="6716" w:val="left" w:leader="none"/>
          <w:tab w:pos="7248" w:val="left" w:leader="none"/>
          <w:tab w:pos="7878" w:val="left" w:leader="none"/>
        </w:tabs>
        <w:spacing w:line="374" w:lineRule="auto" w:before="5"/>
        <w:ind w:left="1184" w:right="144"/>
      </w:pPr>
      <w:r>
        <w:rPr/>
        <w:t>members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light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findings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United</w:t>
      </w:r>
      <w:r>
        <w:rPr>
          <w:spacing w:val="32"/>
        </w:rPr>
        <w:t> </w:t>
      </w:r>
      <w:r>
        <w:rPr/>
        <w:t>Nations</w:t>
      </w:r>
      <w:r>
        <w:rPr>
          <w:spacing w:val="31"/>
        </w:rPr>
        <w:t> </w:t>
      </w:r>
      <w:r>
        <w:rPr/>
        <w:t>Conference</w:t>
      </w:r>
      <w:r>
        <w:rPr>
          <w:spacing w:val="30"/>
        </w:rPr>
        <w:t> </w:t>
      </w:r>
      <w:r>
        <w:rPr/>
        <w:t>on</w:t>
      </w:r>
      <w:r>
        <w:rPr>
          <w:spacing w:val="29"/>
        </w:rPr>
        <w:t> </w:t>
      </w:r>
      <w:r>
        <w:rPr/>
        <w:t>Trade </w:t>
      </w:r>
      <w:r>
        <w:rPr>
          <w:spacing w:val="-5"/>
        </w:rPr>
        <w:t>and</w:t>
      </w:r>
      <w:r>
        <w:rPr/>
        <w:tab/>
      </w:r>
      <w:r>
        <w:rPr>
          <w:spacing w:val="-2"/>
        </w:rPr>
        <w:t>Development</w:t>
      </w:r>
      <w:r>
        <w:rPr/>
        <w:tab/>
      </w:r>
      <w:r>
        <w:rPr>
          <w:spacing w:val="-5"/>
        </w:rPr>
        <w:t>and</w:t>
      </w:r>
      <w:r>
        <w:rPr/>
        <w:tab/>
      </w:r>
      <w:r>
        <w:rPr>
          <w:spacing w:val="-2"/>
        </w:rPr>
        <w:t>submit</w:t>
      </w:r>
      <w:r>
        <w:rPr/>
        <w:tab/>
      </w:r>
      <w:r>
        <w:rPr>
          <w:spacing w:val="-5"/>
        </w:rPr>
        <w:t>its</w:t>
      </w:r>
      <w:r>
        <w:rPr/>
        <w:tab/>
      </w:r>
      <w:r>
        <w:rPr>
          <w:spacing w:val="-2"/>
        </w:rPr>
        <w:t>findings</w:t>
      </w:r>
      <w:r>
        <w:rPr/>
        <w:tab/>
      </w:r>
      <w:r>
        <w:rPr>
          <w:spacing w:val="-5"/>
        </w:rPr>
        <w:t>to</w:t>
      </w:r>
      <w:r>
        <w:rPr/>
        <w:tab/>
      </w:r>
      <w:r>
        <w:rPr>
          <w:spacing w:val="-5"/>
        </w:rPr>
        <w:t>the</w:t>
      </w:r>
      <w:r>
        <w:rPr/>
        <w:tab/>
      </w:r>
      <w:r>
        <w:rPr>
          <w:spacing w:val="-2"/>
        </w:rPr>
        <w:t>Council.</w:t>
      </w:r>
    </w:p>
    <w:sectPr>
      <w:headerReference w:type="default" r:id="rId6"/>
      <w:pgSz w:w="12240" w:h="15840"/>
      <w:pgMar w:header="701" w:footer="0" w:top="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1.320007pt;margin-top:34.068241pt;width:78.350pt;height:14.5pt;mso-position-horizontal-relative:page;mso-position-vertical-relative:page;z-index:-15759872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5"/>
                  </w:rPr>
                  <w:t> </w:t>
                </w:r>
                <w:r>
                  <w:rPr/>
                  <w:t>43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2"/>
                  </w:rPr>
                  <w:t>(III)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1.320007pt;margin-top:34.068241pt;width:78.350pt;height:14.5pt;mso-position-horizontal-relative:page;mso-position-vertical-relative:page;z-index:-15759360" type="#_x0000_t202" id="docshape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5"/>
                  </w:rPr>
                  <w:t> </w:t>
                </w:r>
                <w:r>
                  <w:rPr/>
                  <w:t>31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2"/>
                  </w:rPr>
                  <w:t>(III)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550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39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ADOPTED BY THE THIRD ORDINARY SESSION OF THE COUNCIL OF MINISTERS HELD IN CAIRO, (U.A.R.), FROM 13 TO 17 JULY 1964</dc:title>
  <dcterms:created xsi:type="dcterms:W3CDTF">2023-06-06T12:54:07Z</dcterms:created>
  <dcterms:modified xsi:type="dcterms:W3CDTF">2023-06-06T12:54:07Z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