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5"/>
        <w:jc w:val="right"/>
      </w:pPr>
      <w:r>
        <w:rPr/>
        <w:t>CM/Res.</w:t>
      </w:r>
      <w:r>
        <w:rPr>
          <w:spacing w:val="13"/>
        </w:rPr>
        <w:t> </w:t>
      </w:r>
      <w:r>
        <w:rPr/>
        <w:t>58</w:t>
      </w:r>
      <w:r>
        <w:rPr>
          <w:spacing w:val="14"/>
        </w:rPr>
        <w:t> </w:t>
      </w:r>
      <w:r>
        <w:rPr>
          <w:spacing w:val="-4"/>
        </w:rPr>
        <w:t>(IV)</w:t>
      </w:r>
    </w:p>
    <w:p>
      <w:pPr>
        <w:pStyle w:val="BodyText"/>
        <w:spacing w:before="2"/>
        <w:rPr>
          <w:sz w:val="35"/>
        </w:rPr>
      </w:pPr>
    </w:p>
    <w:p>
      <w:pPr>
        <w:pStyle w:val="Title"/>
        <w:spacing w:line="369" w:lineRule="auto"/>
        <w:rPr>
          <w:u w:val="none"/>
        </w:rPr>
      </w:pPr>
      <w:r>
        <w:rPr>
          <w:u w:val="single"/>
        </w:rPr>
        <w:t>FINANCING OF THE CASE AGAINST SOUTH AFRICA ON</w:t>
      </w:r>
      <w:r>
        <w:rPr>
          <w:u w:val="none"/>
        </w:rPr>
        <w:t> </w:t>
      </w:r>
      <w:r>
        <w:rPr>
          <w:u w:val="single"/>
        </w:rPr>
        <w:t>THE SOUTH WEST AFRICA ISSUE</w:t>
      </w:r>
    </w:p>
    <w:p>
      <w:pPr>
        <w:pStyle w:val="BodyText"/>
        <w:spacing w:before="6"/>
        <w:rPr>
          <w:b/>
          <w:sz w:val="24"/>
        </w:rPr>
      </w:pPr>
    </w:p>
    <w:p>
      <w:pPr>
        <w:pStyle w:val="BodyText"/>
        <w:spacing w:line="374" w:lineRule="auto" w:before="96"/>
        <w:ind w:left="171" w:right="232" w:firstLine="676"/>
      </w:pPr>
      <w:r>
        <w:rPr/>
        <w:t>The Council of Ministers meeting in its Fourth Ordinary Session in Nairobi (Kenya),</w:t>
      </w:r>
      <w:r>
        <w:rPr>
          <w:spacing w:val="80"/>
        </w:rPr>
        <w:t> </w:t>
      </w:r>
      <w:r>
        <w:rPr/>
        <w:t>from 26 February to 9 March 1965,</w:t>
      </w:r>
    </w:p>
    <w:p>
      <w:pPr>
        <w:pStyle w:val="BodyText"/>
        <w:spacing w:before="2"/>
        <w:rPr>
          <w:sz w:val="33"/>
        </w:rPr>
      </w:pPr>
    </w:p>
    <w:p>
      <w:pPr>
        <w:pStyle w:val="BodyText"/>
        <w:spacing w:line="369" w:lineRule="auto"/>
        <w:ind w:left="171" w:right="232" w:firstLine="676"/>
      </w:pPr>
      <w:r>
        <w:rPr>
          <w:b/>
          <w:u w:val="single"/>
        </w:rPr>
        <w:t>Recalling</w:t>
      </w:r>
      <w:r>
        <w:rPr>
          <w:b/>
          <w:spacing w:val="40"/>
        </w:rPr>
        <w:t> </w:t>
      </w:r>
      <w:r>
        <w:rPr/>
        <w:t>Resolution</w:t>
      </w:r>
      <w:r>
        <w:rPr>
          <w:spacing w:val="40"/>
        </w:rPr>
        <w:t> </w:t>
      </w:r>
      <w:r>
        <w:rPr/>
        <w:t>A</w:t>
      </w:r>
      <w:r>
        <w:rPr>
          <w:spacing w:val="40"/>
        </w:rPr>
        <w:t> </w:t>
      </w:r>
      <w:r>
        <w:rPr/>
        <w:t>passed</w:t>
      </w:r>
      <w:r>
        <w:rPr>
          <w:spacing w:val="40"/>
        </w:rPr>
        <w:t> </w:t>
      </w:r>
      <w:r>
        <w:rPr/>
        <w:t>by</w:t>
      </w:r>
      <w:r>
        <w:rPr>
          <w:spacing w:val="40"/>
        </w:rPr>
        <w:t> </w:t>
      </w:r>
      <w:r>
        <w:rPr/>
        <w:t>the</w:t>
      </w:r>
      <w:r>
        <w:rPr>
          <w:spacing w:val="40"/>
        </w:rPr>
        <w:t> </w:t>
      </w:r>
      <w:r>
        <w:rPr/>
        <w:t>Heads</w:t>
      </w:r>
      <w:r>
        <w:rPr>
          <w:spacing w:val="40"/>
        </w:rPr>
        <w:t> </w:t>
      </w:r>
      <w:r>
        <w:rPr/>
        <w:t>of</w:t>
      </w:r>
      <w:r>
        <w:rPr>
          <w:spacing w:val="40"/>
        </w:rPr>
        <w:t> </w:t>
      </w:r>
      <w:r>
        <w:rPr/>
        <w:t>State</w:t>
      </w:r>
      <w:r>
        <w:rPr>
          <w:spacing w:val="40"/>
        </w:rPr>
        <w:t> </w:t>
      </w:r>
      <w:r>
        <w:rPr/>
        <w:t>and</w:t>
      </w:r>
      <w:r>
        <w:rPr>
          <w:spacing w:val="40"/>
        </w:rPr>
        <w:t> </w:t>
      </w:r>
      <w:r>
        <w:rPr/>
        <w:t>Government</w:t>
      </w:r>
      <w:r>
        <w:rPr>
          <w:spacing w:val="40"/>
        </w:rPr>
        <w:t> </w:t>
      </w:r>
      <w:r>
        <w:rPr/>
        <w:t>in</w:t>
      </w:r>
      <w:r>
        <w:rPr>
          <w:spacing w:val="40"/>
        </w:rPr>
        <w:t> </w:t>
      </w:r>
      <w:r>
        <w:rPr/>
        <w:t>Addis</w:t>
      </w:r>
      <w:r>
        <w:rPr>
          <w:spacing w:val="80"/>
        </w:rPr>
        <w:t> </w:t>
      </w:r>
      <w:r>
        <w:rPr/>
        <w:t>Ababa in May, 1963,</w:t>
      </w:r>
    </w:p>
    <w:p>
      <w:pPr>
        <w:pStyle w:val="BodyText"/>
        <w:spacing w:before="8"/>
        <w:rPr>
          <w:sz w:val="33"/>
        </w:rPr>
      </w:pPr>
    </w:p>
    <w:p>
      <w:pPr>
        <w:pStyle w:val="BodyText"/>
        <w:spacing w:line="369" w:lineRule="auto"/>
        <w:ind w:left="171" w:right="232" w:firstLine="676"/>
      </w:pPr>
      <w:r>
        <w:rPr>
          <w:b/>
          <w:u w:val="single"/>
        </w:rPr>
        <w:t>Reaffirming</w:t>
      </w:r>
      <w:r>
        <w:rPr>
          <w:b/>
          <w:spacing w:val="80"/>
          <w:w w:val="150"/>
        </w:rPr>
        <w:t> </w:t>
      </w:r>
      <w:r>
        <w:rPr/>
        <w:t>that</w:t>
      </w:r>
      <w:r>
        <w:rPr>
          <w:spacing w:val="80"/>
        </w:rPr>
        <w:t> </w:t>
      </w:r>
      <w:r>
        <w:rPr/>
        <w:t>the</w:t>
      </w:r>
      <w:r>
        <w:rPr>
          <w:spacing w:val="80"/>
        </w:rPr>
        <w:t> </w:t>
      </w:r>
      <w:r>
        <w:rPr/>
        <w:t>territory</w:t>
      </w:r>
      <w:r>
        <w:rPr>
          <w:spacing w:val="80"/>
        </w:rPr>
        <w:t> </w:t>
      </w:r>
      <w:r>
        <w:rPr/>
        <w:t>of</w:t>
      </w:r>
      <w:r>
        <w:rPr>
          <w:spacing w:val="80"/>
        </w:rPr>
        <w:t> </w:t>
      </w:r>
      <w:r>
        <w:rPr/>
        <w:t>South</w:t>
      </w:r>
      <w:r>
        <w:rPr>
          <w:spacing w:val="80"/>
        </w:rPr>
        <w:t> </w:t>
      </w:r>
      <w:r>
        <w:rPr/>
        <w:t>Africa</w:t>
      </w:r>
      <w:r>
        <w:rPr>
          <w:spacing w:val="80"/>
        </w:rPr>
        <w:t> </w:t>
      </w:r>
      <w:r>
        <w:rPr/>
        <w:t>is</w:t>
      </w:r>
      <w:r>
        <w:rPr>
          <w:spacing w:val="80"/>
        </w:rPr>
        <w:t> </w:t>
      </w:r>
      <w:r>
        <w:rPr/>
        <w:t>an</w:t>
      </w:r>
      <w:r>
        <w:rPr>
          <w:spacing w:val="80"/>
        </w:rPr>
        <w:t> </w:t>
      </w:r>
      <w:r>
        <w:rPr/>
        <w:t>African</w:t>
      </w:r>
      <w:r>
        <w:rPr>
          <w:spacing w:val="80"/>
        </w:rPr>
        <w:t> </w:t>
      </w:r>
      <w:r>
        <w:rPr/>
        <w:t>Territory</w:t>
      </w:r>
      <w:r>
        <w:rPr>
          <w:spacing w:val="80"/>
        </w:rPr>
        <w:t> </w:t>
      </w:r>
      <w:r>
        <w:rPr/>
        <w:t>under international mandate,</w:t>
      </w:r>
    </w:p>
    <w:p>
      <w:pPr>
        <w:pStyle w:val="BodyText"/>
        <w:spacing w:before="1"/>
        <w:rPr>
          <w:sz w:val="34"/>
        </w:rPr>
      </w:pPr>
    </w:p>
    <w:p>
      <w:pPr>
        <w:pStyle w:val="BodyText"/>
        <w:spacing w:line="369" w:lineRule="auto"/>
        <w:ind w:left="171" w:firstLine="676"/>
      </w:pPr>
      <w:r>
        <w:rPr>
          <w:b/>
          <w:u w:val="single"/>
        </w:rPr>
        <w:t>Further</w:t>
      </w:r>
      <w:r>
        <w:rPr>
          <w:b/>
          <w:spacing w:val="35"/>
          <w:u w:val="single"/>
        </w:rPr>
        <w:t> </w:t>
      </w:r>
      <w:r>
        <w:rPr>
          <w:b/>
          <w:u w:val="single"/>
        </w:rPr>
        <w:t>reaffirming</w:t>
      </w:r>
      <w:r>
        <w:rPr>
          <w:b/>
          <w:spacing w:val="39"/>
        </w:rPr>
        <w:t> </w:t>
      </w:r>
      <w:r>
        <w:rPr/>
        <w:t>its</w:t>
      </w:r>
      <w:r>
        <w:rPr>
          <w:spacing w:val="34"/>
        </w:rPr>
        <w:t> </w:t>
      </w:r>
      <w:r>
        <w:rPr/>
        <w:t>determination</w:t>
      </w:r>
      <w:r>
        <w:rPr>
          <w:spacing w:val="35"/>
        </w:rPr>
        <w:t> </w:t>
      </w:r>
      <w:r>
        <w:rPr/>
        <w:t>to</w:t>
      </w:r>
      <w:r>
        <w:rPr>
          <w:spacing w:val="36"/>
        </w:rPr>
        <w:t> </w:t>
      </w:r>
      <w:r>
        <w:rPr/>
        <w:t>render</w:t>
      </w:r>
      <w:r>
        <w:rPr>
          <w:spacing w:val="35"/>
        </w:rPr>
        <w:t> </w:t>
      </w:r>
      <w:r>
        <w:rPr/>
        <w:t>all</w:t>
      </w:r>
      <w:r>
        <w:rPr>
          <w:spacing w:val="35"/>
        </w:rPr>
        <w:t> </w:t>
      </w:r>
      <w:r>
        <w:rPr/>
        <w:t>necessary</w:t>
      </w:r>
      <w:r>
        <w:rPr>
          <w:spacing w:val="35"/>
        </w:rPr>
        <w:t> </w:t>
      </w:r>
      <w:r>
        <w:rPr/>
        <w:t>support</w:t>
      </w:r>
      <w:r>
        <w:rPr>
          <w:spacing w:val="35"/>
        </w:rPr>
        <w:t> </w:t>
      </w:r>
      <w:r>
        <w:rPr/>
        <w:t>to</w:t>
      </w:r>
      <w:r>
        <w:rPr>
          <w:spacing w:val="36"/>
        </w:rPr>
        <w:t> </w:t>
      </w:r>
      <w:r>
        <w:rPr/>
        <w:t>the</w:t>
      </w:r>
      <w:r>
        <w:rPr>
          <w:spacing w:val="35"/>
        </w:rPr>
        <w:t> </w:t>
      </w:r>
      <w:r>
        <w:rPr/>
        <w:t>South- West African Case now before the International Court of Justice,</w:t>
      </w:r>
    </w:p>
    <w:p>
      <w:pPr>
        <w:pStyle w:val="BodyText"/>
        <w:spacing w:before="3"/>
        <w:rPr>
          <w:sz w:val="33"/>
        </w:rPr>
      </w:pPr>
    </w:p>
    <w:p>
      <w:pPr>
        <w:pStyle w:val="BodyText"/>
        <w:spacing w:line="374" w:lineRule="auto"/>
        <w:ind w:left="171" w:right="232" w:firstLine="676"/>
      </w:pPr>
      <w:r>
        <w:rPr>
          <w:b/>
          <w:u w:val="single"/>
        </w:rPr>
        <w:t>Noting</w:t>
      </w:r>
      <w:r>
        <w:rPr>
          <w:b/>
          <w:spacing w:val="25"/>
        </w:rPr>
        <w:t> </w:t>
      </w:r>
      <w:r>
        <w:rPr/>
        <w:t>that the Case is now in its final stage before the Court and</w:t>
      </w:r>
      <w:r>
        <w:rPr>
          <w:spacing w:val="16"/>
        </w:rPr>
        <w:t> </w:t>
      </w:r>
      <w:r>
        <w:rPr/>
        <w:t>that a decision can</w:t>
      </w:r>
      <w:r>
        <w:rPr>
          <w:spacing w:val="80"/>
        </w:rPr>
        <w:t> </w:t>
      </w:r>
      <w:r>
        <w:rPr/>
        <w:t>be expected in the near future,</w:t>
      </w:r>
    </w:p>
    <w:p>
      <w:pPr>
        <w:pStyle w:val="BodyText"/>
        <w:spacing w:before="2"/>
        <w:rPr>
          <w:sz w:val="33"/>
        </w:rPr>
      </w:pPr>
    </w:p>
    <w:p>
      <w:pPr>
        <w:pStyle w:val="BodyText"/>
        <w:spacing w:line="369" w:lineRule="auto"/>
        <w:ind w:left="171" w:right="232" w:firstLine="677"/>
      </w:pPr>
      <w:r>
        <w:rPr>
          <w:b/>
          <w:u w:val="single"/>
        </w:rPr>
        <w:t>Welcoming</w:t>
      </w:r>
      <w:r>
        <w:rPr>
          <w:b/>
        </w:rPr>
        <w:t> </w:t>
      </w:r>
      <w:r>
        <w:rPr/>
        <w:t>the voluntary contributions already made by most of the African States to the financing of the Case,</w:t>
      </w:r>
    </w:p>
    <w:p>
      <w:pPr>
        <w:pStyle w:val="BodyText"/>
        <w:spacing w:before="8"/>
        <w:rPr>
          <w:sz w:val="33"/>
        </w:rPr>
      </w:pPr>
    </w:p>
    <w:p>
      <w:pPr>
        <w:pStyle w:val="ListParagraph"/>
        <w:numPr>
          <w:ilvl w:val="0"/>
          <w:numId w:val="1"/>
        </w:numPr>
        <w:tabs>
          <w:tab w:pos="1184" w:val="left" w:leader="none"/>
        </w:tabs>
        <w:spacing w:line="369" w:lineRule="auto" w:before="0" w:after="0"/>
        <w:ind w:left="1184" w:right="161" w:hanging="336"/>
        <w:jc w:val="both"/>
        <w:rPr>
          <w:sz w:val="22"/>
        </w:rPr>
      </w:pPr>
      <w:r>
        <w:rPr>
          <w:b/>
          <w:sz w:val="22"/>
        </w:rPr>
        <w:t>DECIDES </w:t>
      </w:r>
      <w:r>
        <w:rPr>
          <w:sz w:val="22"/>
        </w:rPr>
        <w:t>that the total cost of financing the Case should be shared equally by all the African States;</w:t>
      </w:r>
    </w:p>
    <w:p>
      <w:pPr>
        <w:pStyle w:val="BodyText"/>
        <w:spacing w:before="1"/>
        <w:rPr>
          <w:sz w:val="34"/>
        </w:rPr>
      </w:pPr>
    </w:p>
    <w:p>
      <w:pPr>
        <w:pStyle w:val="ListParagraph"/>
        <w:numPr>
          <w:ilvl w:val="0"/>
          <w:numId w:val="1"/>
        </w:numPr>
        <w:tabs>
          <w:tab w:pos="1184" w:val="left" w:leader="none"/>
        </w:tabs>
        <w:spacing w:line="364" w:lineRule="auto" w:before="0" w:after="0"/>
        <w:ind w:left="1184" w:right="160" w:hanging="336"/>
        <w:jc w:val="both"/>
        <w:rPr>
          <w:sz w:val="22"/>
        </w:rPr>
      </w:pPr>
      <w:r>
        <w:rPr>
          <w:b/>
          <w:sz w:val="22"/>
        </w:rPr>
        <w:t>REQUESTS </w:t>
      </w:r>
      <w:r>
        <w:rPr>
          <w:sz w:val="22"/>
        </w:rPr>
        <w:t>that the total cost of financing the Case should be shared equally by</w:t>
      </w:r>
      <w:r>
        <w:rPr>
          <w:spacing w:val="80"/>
          <w:sz w:val="22"/>
        </w:rPr>
        <w:t> </w:t>
      </w:r>
      <w:r>
        <w:rPr>
          <w:sz w:val="22"/>
        </w:rPr>
        <w:t>all the African States;</w:t>
      </w:r>
    </w:p>
    <w:p>
      <w:pPr>
        <w:pStyle w:val="BodyText"/>
        <w:spacing w:before="1"/>
        <w:rPr>
          <w:sz w:val="34"/>
        </w:rPr>
      </w:pPr>
    </w:p>
    <w:p>
      <w:pPr>
        <w:pStyle w:val="ListParagraph"/>
        <w:numPr>
          <w:ilvl w:val="0"/>
          <w:numId w:val="1"/>
        </w:numPr>
        <w:tabs>
          <w:tab w:pos="1184" w:val="left" w:leader="none"/>
        </w:tabs>
        <w:spacing w:line="374" w:lineRule="auto" w:before="1" w:after="0"/>
        <w:ind w:left="1184" w:right="151" w:hanging="336"/>
        <w:jc w:val="both"/>
        <w:rPr>
          <w:sz w:val="22"/>
        </w:rPr>
      </w:pPr>
      <w:r>
        <w:rPr>
          <w:b/>
          <w:sz w:val="22"/>
        </w:rPr>
        <w:t>FURTHER</w:t>
      </w:r>
      <w:r>
        <w:rPr>
          <w:b/>
          <w:spacing w:val="40"/>
          <w:sz w:val="22"/>
        </w:rPr>
        <w:t> </w:t>
      </w:r>
      <w:r>
        <w:rPr>
          <w:b/>
          <w:sz w:val="22"/>
        </w:rPr>
        <w:t>REQUESTS</w:t>
      </w:r>
      <w:r>
        <w:rPr>
          <w:b/>
          <w:spacing w:val="40"/>
          <w:sz w:val="22"/>
        </w:rPr>
        <w:t> </w:t>
      </w:r>
      <w:r>
        <w:rPr>
          <w:sz w:val="22"/>
        </w:rPr>
        <w:t>each</w:t>
      </w:r>
      <w:r>
        <w:rPr>
          <w:spacing w:val="40"/>
          <w:sz w:val="22"/>
        </w:rPr>
        <w:t> </w:t>
      </w:r>
      <w:r>
        <w:rPr>
          <w:sz w:val="22"/>
        </w:rPr>
        <w:t>State</w:t>
      </w:r>
      <w:r>
        <w:rPr>
          <w:spacing w:val="40"/>
          <w:sz w:val="22"/>
        </w:rPr>
        <w:t> </w:t>
      </w:r>
      <w:r>
        <w:rPr>
          <w:sz w:val="22"/>
        </w:rPr>
        <w:t>to</w:t>
      </w:r>
      <w:r>
        <w:rPr>
          <w:spacing w:val="40"/>
          <w:sz w:val="22"/>
        </w:rPr>
        <w:t> </w:t>
      </w:r>
      <w:r>
        <w:rPr>
          <w:sz w:val="22"/>
        </w:rPr>
        <w:t>pay</w:t>
      </w:r>
      <w:r>
        <w:rPr>
          <w:spacing w:val="40"/>
          <w:sz w:val="22"/>
        </w:rPr>
        <w:t> </w:t>
      </w:r>
      <w:r>
        <w:rPr>
          <w:sz w:val="22"/>
        </w:rPr>
        <w:t>to</w:t>
      </w:r>
      <w:r>
        <w:rPr>
          <w:spacing w:val="40"/>
          <w:sz w:val="22"/>
        </w:rPr>
        <w:t> </w:t>
      </w:r>
      <w:r>
        <w:rPr>
          <w:sz w:val="22"/>
        </w:rPr>
        <w:t>the</w:t>
      </w:r>
      <w:r>
        <w:rPr>
          <w:spacing w:val="40"/>
          <w:sz w:val="22"/>
        </w:rPr>
        <w:t> </w:t>
      </w:r>
      <w:r>
        <w:rPr>
          <w:sz w:val="22"/>
        </w:rPr>
        <w:t>Secretariat</w:t>
      </w:r>
      <w:r>
        <w:rPr>
          <w:spacing w:val="40"/>
          <w:sz w:val="22"/>
        </w:rPr>
        <w:t> </w:t>
      </w:r>
      <w:r>
        <w:rPr>
          <w:sz w:val="22"/>
        </w:rPr>
        <w:t>of</w:t>
      </w:r>
      <w:r>
        <w:rPr>
          <w:spacing w:val="40"/>
          <w:sz w:val="22"/>
        </w:rPr>
        <w:t> </w:t>
      </w:r>
      <w:r>
        <w:rPr>
          <w:sz w:val="22"/>
        </w:rPr>
        <w:t>the</w:t>
      </w:r>
      <w:r>
        <w:rPr>
          <w:spacing w:val="40"/>
          <w:sz w:val="22"/>
        </w:rPr>
        <w:t> </w:t>
      </w:r>
      <w:r>
        <w:rPr>
          <w:sz w:val="22"/>
        </w:rPr>
        <w:t>African Group at the United Nations its contribution by 15 April 1965;</w:t>
      </w:r>
    </w:p>
    <w:p>
      <w:pPr>
        <w:pStyle w:val="BodyText"/>
        <w:spacing w:before="2"/>
        <w:rPr>
          <w:sz w:val="33"/>
        </w:rPr>
      </w:pPr>
    </w:p>
    <w:p>
      <w:pPr>
        <w:pStyle w:val="ListParagraph"/>
        <w:numPr>
          <w:ilvl w:val="0"/>
          <w:numId w:val="1"/>
        </w:numPr>
        <w:tabs>
          <w:tab w:pos="1184" w:val="left" w:leader="none"/>
        </w:tabs>
        <w:spacing w:line="369" w:lineRule="auto" w:before="0" w:after="0"/>
        <w:ind w:left="1184" w:right="144" w:hanging="336"/>
        <w:jc w:val="both"/>
        <w:rPr>
          <w:sz w:val="22"/>
        </w:rPr>
      </w:pPr>
      <w:r>
        <w:rPr>
          <w:b/>
          <w:sz w:val="22"/>
        </w:rPr>
        <w:t>REQUESTS </w:t>
      </w:r>
      <w:r>
        <w:rPr>
          <w:sz w:val="22"/>
        </w:rPr>
        <w:t>the Secretariat of the African Group at the United Nations to put permanently at the disposal of contributing Member States, the accounts and particulars of the special fund for the South-West Africa Case.</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2576" w:right="1028" w:hanging="1220"/>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 OF THE FOURTH ORDINARY SESSION OF THE COUNCIL OF MINISTERS HELD IN NAIROBI, KENYA FROM 26 FEBRUARY TO 9 MARCH 1965</dc:title>
  <dcterms:created xsi:type="dcterms:W3CDTF">2023-06-06T12:54:29Z</dcterms:created>
  <dcterms:modified xsi:type="dcterms:W3CDTF">2023-06-06T12:54:29Z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