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0"/>
        </w:rPr>
      </w:pPr>
    </w:p>
    <w:p>
      <w:pPr>
        <w:pStyle w:val="Title"/>
        <w:rPr>
          <w:u w:val="none"/>
        </w:rPr>
      </w:pPr>
      <w:r>
        <w:rPr>
          <w:u w:val="single"/>
        </w:rPr>
        <w:t>SOUTHERN</w:t>
      </w:r>
      <w:r>
        <w:rPr>
          <w:spacing w:val="14"/>
          <w:u w:val="single"/>
        </w:rPr>
        <w:t> </w:t>
      </w:r>
      <w:r>
        <w:rPr>
          <w:spacing w:val="-2"/>
          <w:u w:val="single"/>
        </w:rPr>
        <w:t>RHODESIA</w:t>
      </w:r>
    </w:p>
    <w:p>
      <w:pPr>
        <w:pStyle w:val="BodyText"/>
        <w:spacing w:before="4"/>
        <w:rPr>
          <w:b/>
          <w:sz w:val="14"/>
        </w:rPr>
      </w:pPr>
    </w:p>
    <w:p>
      <w:pPr>
        <w:pStyle w:val="BodyText"/>
        <w:spacing w:line="374" w:lineRule="auto" w:before="96"/>
        <w:ind w:left="171" w:right="146" w:firstLine="676"/>
        <w:jc w:val="both"/>
      </w:pPr>
      <w:r>
        <w:rPr/>
        <w:t>The</w:t>
      </w:r>
      <w:r>
        <w:rPr>
          <w:spacing w:val="40"/>
        </w:rPr>
        <w:t> </w:t>
      </w:r>
      <w:r>
        <w:rPr/>
        <w:t>Council</w:t>
      </w:r>
      <w:r>
        <w:rPr>
          <w:spacing w:val="40"/>
        </w:rPr>
        <w:t> </w:t>
      </w:r>
      <w:r>
        <w:rPr/>
        <w:t>of</w:t>
      </w:r>
      <w:r>
        <w:rPr>
          <w:spacing w:val="40"/>
        </w:rPr>
        <w:t> </w:t>
      </w:r>
      <w:r>
        <w:rPr/>
        <w:t>Ministers,</w:t>
      </w:r>
      <w:r>
        <w:rPr>
          <w:spacing w:val="40"/>
        </w:rPr>
        <w:t> </w:t>
      </w:r>
      <w:r>
        <w:rPr/>
        <w:t>meeting</w:t>
      </w:r>
      <w:r>
        <w:rPr>
          <w:spacing w:val="40"/>
        </w:rPr>
        <w:t> </w:t>
      </w:r>
      <w:r>
        <w:rPr/>
        <w:t>in</w:t>
      </w:r>
      <w:r>
        <w:rPr>
          <w:spacing w:val="40"/>
        </w:rPr>
        <w:t> </w:t>
      </w:r>
      <w:r>
        <w:rPr/>
        <w:t>its</w:t>
      </w:r>
      <w:r>
        <w:rPr>
          <w:spacing w:val="40"/>
        </w:rPr>
        <w:t> </w:t>
      </w:r>
      <w:r>
        <w:rPr/>
        <w:t>Fifth</w:t>
      </w:r>
      <w:r>
        <w:rPr>
          <w:spacing w:val="40"/>
        </w:rPr>
        <w:t> </w:t>
      </w:r>
      <w:r>
        <w:rPr/>
        <w:t>Ordinary</w:t>
      </w:r>
      <w:r>
        <w:rPr>
          <w:spacing w:val="40"/>
        </w:rPr>
        <w:t> </w:t>
      </w:r>
      <w:r>
        <w:rPr/>
        <w:t>Session</w:t>
      </w:r>
      <w:r>
        <w:rPr>
          <w:spacing w:val="40"/>
        </w:rPr>
        <w:t> </w:t>
      </w:r>
      <w:r>
        <w:rPr/>
        <w:t>in</w:t>
      </w:r>
      <w:r>
        <w:rPr>
          <w:spacing w:val="40"/>
        </w:rPr>
        <w:t> </w:t>
      </w:r>
      <w:r>
        <w:rPr/>
        <w:t>Accra,</w:t>
      </w:r>
      <w:r>
        <w:rPr>
          <w:spacing w:val="40"/>
        </w:rPr>
        <w:t> </w:t>
      </w:r>
      <w:r>
        <w:rPr/>
        <w:t>Ghana, from 14 to 21 October 1965,</w:t>
      </w:r>
    </w:p>
    <w:p>
      <w:pPr>
        <w:pStyle w:val="BodyText"/>
        <w:spacing w:before="2"/>
        <w:rPr>
          <w:sz w:val="33"/>
        </w:rPr>
      </w:pPr>
    </w:p>
    <w:p>
      <w:pPr>
        <w:pStyle w:val="BodyText"/>
        <w:spacing w:line="369" w:lineRule="auto"/>
        <w:ind w:left="171" w:right="152" w:firstLine="676"/>
        <w:jc w:val="both"/>
      </w:pPr>
      <w:r>
        <w:rPr>
          <w:b/>
          <w:u w:val="single"/>
        </w:rPr>
        <w:t>Deeply concerned</w:t>
      </w:r>
      <w:r>
        <w:rPr>
          <w:b/>
        </w:rPr>
        <w:t> </w:t>
      </w:r>
      <w:r>
        <w:rPr/>
        <w:t>by the gravity of the situation in Southern Rhodesia by the</w:t>
      </w:r>
      <w:r>
        <w:rPr>
          <w:spacing w:val="80"/>
        </w:rPr>
        <w:t> </w:t>
      </w:r>
      <w:r>
        <w:rPr/>
        <w:t>persistent threat of the white minority government to perpetuate its domination by means of a Unilateral Declaration of Independence,</w:t>
      </w:r>
    </w:p>
    <w:p>
      <w:pPr>
        <w:pStyle w:val="BodyText"/>
        <w:spacing w:before="7"/>
        <w:rPr>
          <w:sz w:val="33"/>
        </w:rPr>
      </w:pPr>
    </w:p>
    <w:p>
      <w:pPr>
        <w:pStyle w:val="BodyText"/>
        <w:ind w:left="847"/>
      </w:pPr>
      <w:r>
        <w:rPr>
          <w:b/>
          <w:u w:val="single"/>
        </w:rPr>
        <w:t>Considering</w:t>
      </w:r>
      <w:r>
        <w:rPr>
          <w:b/>
          <w:spacing w:val="18"/>
        </w:rPr>
        <w:t> </w:t>
      </w:r>
      <w:r>
        <w:rPr/>
        <w:t>that</w:t>
      </w:r>
      <w:r>
        <w:rPr>
          <w:spacing w:val="9"/>
        </w:rPr>
        <w:t> </w:t>
      </w:r>
      <w:r>
        <w:rPr/>
        <w:t>the</w:t>
      </w:r>
      <w:r>
        <w:rPr>
          <w:spacing w:val="9"/>
        </w:rPr>
        <w:t> </w:t>
      </w:r>
      <w:r>
        <w:rPr/>
        <w:t>situation</w:t>
      </w:r>
      <w:r>
        <w:rPr>
          <w:spacing w:val="8"/>
        </w:rPr>
        <w:t> </w:t>
      </w:r>
      <w:r>
        <w:rPr/>
        <w:t>constitutes</w:t>
      </w:r>
      <w:r>
        <w:rPr>
          <w:spacing w:val="9"/>
        </w:rPr>
        <w:t> </w:t>
      </w:r>
      <w:r>
        <w:rPr/>
        <w:t>a</w:t>
      </w:r>
      <w:r>
        <w:rPr>
          <w:spacing w:val="9"/>
        </w:rPr>
        <w:t> </w:t>
      </w:r>
      <w:r>
        <w:rPr/>
        <w:t>serious</w:t>
      </w:r>
      <w:r>
        <w:rPr>
          <w:spacing w:val="8"/>
        </w:rPr>
        <w:t> </w:t>
      </w:r>
      <w:r>
        <w:rPr/>
        <w:t>danger</w:t>
      </w:r>
      <w:r>
        <w:rPr>
          <w:spacing w:val="10"/>
        </w:rPr>
        <w:t> </w:t>
      </w:r>
      <w:r>
        <w:rPr/>
        <w:t>to</w:t>
      </w:r>
      <w:r>
        <w:rPr>
          <w:spacing w:val="10"/>
        </w:rPr>
        <w:t> </w:t>
      </w:r>
      <w:r>
        <w:rPr/>
        <w:t>world</w:t>
      </w:r>
      <w:r>
        <w:rPr>
          <w:spacing w:val="10"/>
        </w:rPr>
        <w:t> </w:t>
      </w:r>
      <w:r>
        <w:rPr>
          <w:spacing w:val="-2"/>
        </w:rPr>
        <w:t>peace,</w:t>
      </w:r>
    </w:p>
    <w:p>
      <w:pPr>
        <w:pStyle w:val="BodyText"/>
        <w:rPr>
          <w:sz w:val="24"/>
        </w:rPr>
      </w:pPr>
    </w:p>
    <w:p>
      <w:pPr>
        <w:pStyle w:val="BodyText"/>
      </w:pPr>
    </w:p>
    <w:p>
      <w:pPr>
        <w:pStyle w:val="ListParagraph"/>
        <w:numPr>
          <w:ilvl w:val="0"/>
          <w:numId w:val="1"/>
        </w:numPr>
        <w:tabs>
          <w:tab w:pos="1184" w:val="left" w:leader="none"/>
        </w:tabs>
        <w:spacing w:line="369" w:lineRule="auto" w:before="0" w:after="0"/>
        <w:ind w:left="1184" w:right="158" w:hanging="336"/>
        <w:jc w:val="both"/>
        <w:rPr>
          <w:sz w:val="22"/>
        </w:rPr>
      </w:pPr>
      <w:r>
        <w:rPr>
          <w:b/>
          <w:sz w:val="22"/>
        </w:rPr>
        <w:t>DISAPPROVES </w:t>
      </w:r>
      <w:r>
        <w:rPr>
          <w:sz w:val="22"/>
        </w:rPr>
        <w:t>the attitude of the Government of the United Kingdom of Great Britain and Northern Ireland whose deliberate failure to take drastic political and military action against the white minority government bent on usurping power in Southern Rhodesia, now exposes the African people of Southern Rhodesia to servitude under a settler government;</w:t>
      </w:r>
    </w:p>
    <w:p>
      <w:pPr>
        <w:pStyle w:val="BodyText"/>
        <w:spacing w:before="6"/>
        <w:rPr>
          <w:sz w:val="33"/>
        </w:rPr>
      </w:pPr>
    </w:p>
    <w:p>
      <w:pPr>
        <w:pStyle w:val="ListParagraph"/>
        <w:numPr>
          <w:ilvl w:val="0"/>
          <w:numId w:val="1"/>
        </w:numPr>
        <w:tabs>
          <w:tab w:pos="1184" w:val="left" w:leader="none"/>
        </w:tabs>
        <w:spacing w:line="364" w:lineRule="auto" w:before="0" w:after="0"/>
        <w:ind w:left="1184" w:right="143" w:hanging="336"/>
        <w:jc w:val="both"/>
        <w:rPr>
          <w:sz w:val="22"/>
        </w:rPr>
      </w:pPr>
      <w:r>
        <w:rPr>
          <w:b/>
          <w:sz w:val="22"/>
        </w:rPr>
        <w:t>URGES </w:t>
      </w:r>
      <w:r>
        <w:rPr>
          <w:sz w:val="22"/>
        </w:rPr>
        <w:t>the Government of the United Kingdom of Great Britain and Northern Ireland to immediately:</w:t>
      </w:r>
    </w:p>
    <w:p>
      <w:pPr>
        <w:pStyle w:val="BodyText"/>
        <w:spacing w:before="6"/>
        <w:rPr>
          <w:sz w:val="34"/>
        </w:rPr>
      </w:pPr>
    </w:p>
    <w:p>
      <w:pPr>
        <w:pStyle w:val="ListParagraph"/>
        <w:numPr>
          <w:ilvl w:val="1"/>
          <w:numId w:val="1"/>
        </w:numPr>
        <w:tabs>
          <w:tab w:pos="1525" w:val="left" w:leader="none"/>
        </w:tabs>
        <w:spacing w:line="369" w:lineRule="auto" w:before="0" w:after="0"/>
        <w:ind w:left="1524" w:right="161" w:hanging="341"/>
        <w:jc w:val="both"/>
        <w:rPr>
          <w:sz w:val="22"/>
        </w:rPr>
      </w:pPr>
      <w:r>
        <w:rPr>
          <w:sz w:val="22"/>
        </w:rPr>
        <w:t>suspend</w:t>
      </w:r>
      <w:r>
        <w:rPr>
          <w:spacing w:val="40"/>
          <w:sz w:val="22"/>
        </w:rPr>
        <w:t> </w:t>
      </w:r>
      <w:r>
        <w:rPr>
          <w:sz w:val="22"/>
        </w:rPr>
        <w:t>the</w:t>
      </w:r>
      <w:r>
        <w:rPr>
          <w:spacing w:val="40"/>
          <w:sz w:val="22"/>
        </w:rPr>
        <w:t> </w:t>
      </w:r>
      <w:r>
        <w:rPr>
          <w:sz w:val="22"/>
        </w:rPr>
        <w:t>1961</w:t>
      </w:r>
      <w:r>
        <w:rPr>
          <w:spacing w:val="40"/>
          <w:sz w:val="22"/>
        </w:rPr>
        <w:t> </w:t>
      </w:r>
      <w:r>
        <w:rPr>
          <w:sz w:val="22"/>
        </w:rPr>
        <w:t>Constitution</w:t>
      </w:r>
      <w:r>
        <w:rPr>
          <w:spacing w:val="40"/>
          <w:sz w:val="22"/>
        </w:rPr>
        <w:t> </w:t>
      </w:r>
      <w:r>
        <w:rPr>
          <w:sz w:val="22"/>
        </w:rPr>
        <w:t>of</w:t>
      </w:r>
      <w:r>
        <w:rPr>
          <w:spacing w:val="40"/>
          <w:sz w:val="22"/>
        </w:rPr>
        <w:t> </w:t>
      </w:r>
      <w:r>
        <w:rPr>
          <w:sz w:val="22"/>
        </w:rPr>
        <w:t>Southern</w:t>
      </w:r>
      <w:r>
        <w:rPr>
          <w:spacing w:val="40"/>
          <w:sz w:val="22"/>
        </w:rPr>
        <w:t> </w:t>
      </w:r>
      <w:r>
        <w:rPr>
          <w:sz w:val="22"/>
        </w:rPr>
        <w:t>Rhodesia,</w:t>
      </w:r>
      <w:r>
        <w:rPr>
          <w:spacing w:val="40"/>
          <w:sz w:val="22"/>
        </w:rPr>
        <w:t> </w:t>
      </w:r>
      <w:r>
        <w:rPr>
          <w:sz w:val="22"/>
        </w:rPr>
        <w:t>a</w:t>
      </w:r>
      <w:r>
        <w:rPr>
          <w:spacing w:val="40"/>
          <w:sz w:val="22"/>
        </w:rPr>
        <w:t> </w:t>
      </w:r>
      <w:r>
        <w:rPr>
          <w:sz w:val="22"/>
        </w:rPr>
        <w:t>step</w:t>
      </w:r>
      <w:r>
        <w:rPr>
          <w:spacing w:val="40"/>
          <w:sz w:val="22"/>
        </w:rPr>
        <w:t> </w:t>
      </w:r>
      <w:r>
        <w:rPr>
          <w:sz w:val="22"/>
        </w:rPr>
        <w:t>taken</w:t>
      </w:r>
      <w:r>
        <w:rPr>
          <w:spacing w:val="40"/>
          <w:sz w:val="22"/>
        </w:rPr>
        <w:t> </w:t>
      </w:r>
      <w:r>
        <w:rPr>
          <w:sz w:val="22"/>
        </w:rPr>
        <w:t>for</w:t>
      </w:r>
      <w:r>
        <w:rPr>
          <w:spacing w:val="40"/>
          <w:sz w:val="22"/>
        </w:rPr>
        <w:t> </w:t>
      </w:r>
      <w:r>
        <w:rPr>
          <w:sz w:val="22"/>
        </w:rPr>
        <w:t>less valid reasons in British Guiana and Aden;</w:t>
      </w:r>
    </w:p>
    <w:p>
      <w:pPr>
        <w:pStyle w:val="BodyText"/>
        <w:spacing w:before="1"/>
        <w:rPr>
          <w:sz w:val="34"/>
        </w:rPr>
      </w:pPr>
    </w:p>
    <w:p>
      <w:pPr>
        <w:pStyle w:val="ListParagraph"/>
        <w:numPr>
          <w:ilvl w:val="1"/>
          <w:numId w:val="1"/>
        </w:numPr>
        <w:tabs>
          <w:tab w:pos="1525" w:val="left" w:leader="none"/>
        </w:tabs>
        <w:spacing w:line="364" w:lineRule="auto" w:before="0" w:after="0"/>
        <w:ind w:left="1524" w:right="153" w:hanging="341"/>
        <w:jc w:val="both"/>
        <w:rPr>
          <w:sz w:val="22"/>
        </w:rPr>
      </w:pPr>
      <w:r>
        <w:rPr>
          <w:sz w:val="22"/>
        </w:rPr>
        <w:t>release all the leaders of the Nationalist Movements, JOSHUA NKOMO, SITHOLE and all other political prisoners;</w:t>
      </w:r>
    </w:p>
    <w:p>
      <w:pPr>
        <w:pStyle w:val="BodyText"/>
        <w:spacing w:before="2"/>
        <w:rPr>
          <w:sz w:val="34"/>
        </w:rPr>
      </w:pPr>
    </w:p>
    <w:p>
      <w:pPr>
        <w:pStyle w:val="ListParagraph"/>
        <w:numPr>
          <w:ilvl w:val="1"/>
          <w:numId w:val="1"/>
        </w:numPr>
        <w:tabs>
          <w:tab w:pos="1525" w:val="left" w:leader="none"/>
        </w:tabs>
        <w:spacing w:line="369" w:lineRule="auto" w:before="0" w:after="0"/>
        <w:ind w:left="1524" w:right="158" w:hanging="341"/>
        <w:jc w:val="both"/>
        <w:rPr>
          <w:sz w:val="22"/>
        </w:rPr>
      </w:pPr>
      <w:r>
        <w:rPr>
          <w:sz w:val="22"/>
        </w:rPr>
        <w:t>hold a constitutional Conference with the participation of the duly mandated representatives of the entire population of Southern Rhodesia, with a view to adopting a new constitution guaranteeing universal suffrage, (one man, one</w:t>
      </w:r>
      <w:r>
        <w:rPr>
          <w:spacing w:val="40"/>
          <w:sz w:val="22"/>
        </w:rPr>
        <w:t> </w:t>
      </w:r>
      <w:r>
        <w:rPr>
          <w:sz w:val="22"/>
        </w:rPr>
        <w:t>vote) free elections and independence;</w:t>
      </w:r>
    </w:p>
    <w:p>
      <w:pPr>
        <w:pStyle w:val="BodyText"/>
        <w:spacing w:before="11"/>
        <w:rPr>
          <w:sz w:val="33"/>
        </w:rPr>
      </w:pPr>
    </w:p>
    <w:p>
      <w:pPr>
        <w:pStyle w:val="ListParagraph"/>
        <w:numPr>
          <w:ilvl w:val="0"/>
          <w:numId w:val="1"/>
        </w:numPr>
        <w:tabs>
          <w:tab w:pos="1184" w:val="left" w:leader="none"/>
        </w:tabs>
        <w:spacing w:line="369" w:lineRule="auto" w:before="0" w:after="0"/>
        <w:ind w:left="1184" w:right="159" w:hanging="336"/>
        <w:jc w:val="both"/>
        <w:rPr>
          <w:sz w:val="22"/>
        </w:rPr>
      </w:pPr>
      <w:r>
        <w:rPr>
          <w:b/>
          <w:sz w:val="22"/>
        </w:rPr>
        <w:t>RENEWS </w:t>
      </w:r>
      <w:r>
        <w:rPr>
          <w:sz w:val="22"/>
        </w:rPr>
        <w:t>its appeal to the Government of the United Kingdom of Great Britain</w:t>
      </w:r>
      <w:r>
        <w:rPr>
          <w:spacing w:val="40"/>
          <w:sz w:val="22"/>
        </w:rPr>
        <w:t> </w:t>
      </w:r>
      <w:r>
        <w:rPr>
          <w:sz w:val="22"/>
        </w:rPr>
        <w:t>and Northern Ireland to use every means at its disposal to prevent a Unilateral Declaration of Independence as openly threatened by the minority settler </w:t>
      </w:r>
      <w:r>
        <w:rPr>
          <w:spacing w:val="-2"/>
          <w:sz w:val="22"/>
        </w:rPr>
        <w:t>government.</w:t>
      </w:r>
    </w:p>
    <w:p>
      <w:pPr>
        <w:spacing w:after="0" w:line="369" w:lineRule="auto"/>
        <w:jc w:val="both"/>
        <w:rPr>
          <w:sz w:val="22"/>
        </w:rPr>
        <w:sectPr>
          <w:headerReference w:type="default" r:id="rId5"/>
          <w:type w:val="continuous"/>
          <w:pgSz w:w="12240" w:h="15840"/>
          <w:pgMar w:header="701" w:footer="0" w:top="1260" w:bottom="280" w:left="1720" w:right="1720"/>
          <w:pgNumType w:start="1"/>
        </w:sectPr>
      </w:pPr>
    </w:p>
    <w:p>
      <w:pPr>
        <w:pStyle w:val="ListParagraph"/>
        <w:numPr>
          <w:ilvl w:val="0"/>
          <w:numId w:val="1"/>
        </w:numPr>
        <w:tabs>
          <w:tab w:pos="1184" w:val="left" w:leader="none"/>
        </w:tabs>
        <w:spacing w:line="369" w:lineRule="auto" w:before="85" w:after="0"/>
        <w:ind w:left="1183" w:right="163" w:hanging="336"/>
        <w:jc w:val="both"/>
        <w:rPr>
          <w:sz w:val="22"/>
        </w:rPr>
      </w:pPr>
      <w:r>
        <w:rPr>
          <w:b/>
          <w:sz w:val="22"/>
        </w:rPr>
        <w:t>DECIDES </w:t>
      </w:r>
      <w:r>
        <w:rPr>
          <w:sz w:val="22"/>
        </w:rPr>
        <w:t>that the Council of Minister recommended to the Assembly of Head of State and Government the following crisis:</w:t>
      </w:r>
    </w:p>
    <w:p>
      <w:pPr>
        <w:pStyle w:val="BodyText"/>
        <w:spacing w:before="3"/>
        <w:rPr>
          <w:sz w:val="33"/>
        </w:rPr>
      </w:pPr>
    </w:p>
    <w:p>
      <w:pPr>
        <w:pStyle w:val="ListParagraph"/>
        <w:numPr>
          <w:ilvl w:val="1"/>
          <w:numId w:val="1"/>
        </w:numPr>
        <w:tabs>
          <w:tab w:pos="1525" w:val="left" w:leader="none"/>
        </w:tabs>
        <w:spacing w:line="372" w:lineRule="auto" w:before="0" w:after="0"/>
        <w:ind w:left="1524" w:right="154" w:hanging="341"/>
        <w:jc w:val="both"/>
        <w:rPr>
          <w:sz w:val="22"/>
        </w:rPr>
      </w:pPr>
      <w:r>
        <w:rPr>
          <w:sz w:val="22"/>
        </w:rPr>
        <w:t>to</w:t>
      </w:r>
      <w:r>
        <w:rPr>
          <w:spacing w:val="40"/>
          <w:sz w:val="22"/>
        </w:rPr>
        <w:t> </w:t>
      </w:r>
      <w:r>
        <w:rPr>
          <w:sz w:val="22"/>
        </w:rPr>
        <w:t>reconsider</w:t>
      </w:r>
      <w:r>
        <w:rPr>
          <w:spacing w:val="40"/>
          <w:sz w:val="22"/>
        </w:rPr>
        <w:t> </w:t>
      </w:r>
      <w:r>
        <w:rPr>
          <w:sz w:val="22"/>
        </w:rPr>
        <w:t>all</w:t>
      </w:r>
      <w:r>
        <w:rPr>
          <w:spacing w:val="40"/>
          <w:sz w:val="22"/>
        </w:rPr>
        <w:t> </w:t>
      </w:r>
      <w:r>
        <w:rPr>
          <w:sz w:val="22"/>
        </w:rPr>
        <w:t>political,</w:t>
      </w:r>
      <w:r>
        <w:rPr>
          <w:spacing w:val="40"/>
          <w:sz w:val="22"/>
        </w:rPr>
        <w:t> </w:t>
      </w:r>
      <w:r>
        <w:rPr>
          <w:sz w:val="22"/>
        </w:rPr>
        <w:t>economic,</w:t>
      </w:r>
      <w:r>
        <w:rPr>
          <w:spacing w:val="40"/>
          <w:sz w:val="22"/>
        </w:rPr>
        <w:t> </w:t>
      </w:r>
      <w:r>
        <w:rPr>
          <w:sz w:val="22"/>
        </w:rPr>
        <w:t>diplomatic</w:t>
      </w:r>
      <w:r>
        <w:rPr>
          <w:spacing w:val="40"/>
          <w:sz w:val="22"/>
        </w:rPr>
        <w:t> </w:t>
      </w:r>
      <w:r>
        <w:rPr>
          <w:sz w:val="22"/>
        </w:rPr>
        <w:t>and</w:t>
      </w:r>
      <w:r>
        <w:rPr>
          <w:spacing w:val="40"/>
          <w:sz w:val="22"/>
        </w:rPr>
        <w:t> </w:t>
      </w:r>
      <w:r>
        <w:rPr>
          <w:sz w:val="22"/>
        </w:rPr>
        <w:t>financial</w:t>
      </w:r>
      <w:r>
        <w:rPr>
          <w:spacing w:val="40"/>
          <w:sz w:val="22"/>
        </w:rPr>
        <w:t> </w:t>
      </w:r>
      <w:r>
        <w:rPr>
          <w:sz w:val="22"/>
        </w:rPr>
        <w:t>relations</w:t>
      </w:r>
      <w:r>
        <w:rPr>
          <w:spacing w:val="40"/>
          <w:sz w:val="22"/>
        </w:rPr>
        <w:t> </w:t>
      </w:r>
      <w:r>
        <w:rPr>
          <w:sz w:val="22"/>
        </w:rPr>
        <w:t>with the Government of the United Kingdom of Great Britain and Northern Ireland</w:t>
      </w:r>
      <w:r>
        <w:rPr>
          <w:spacing w:val="80"/>
          <w:sz w:val="22"/>
        </w:rPr>
        <w:t> </w:t>
      </w:r>
      <w:r>
        <w:rPr>
          <w:sz w:val="22"/>
        </w:rPr>
        <w:t>in the event of U.D.I.</w:t>
      </w:r>
    </w:p>
    <w:p>
      <w:pPr>
        <w:pStyle w:val="BodyText"/>
        <w:spacing w:before="4"/>
        <w:rPr>
          <w:sz w:val="33"/>
        </w:rPr>
      </w:pPr>
    </w:p>
    <w:p>
      <w:pPr>
        <w:pStyle w:val="ListParagraph"/>
        <w:numPr>
          <w:ilvl w:val="1"/>
          <w:numId w:val="1"/>
        </w:numPr>
        <w:tabs>
          <w:tab w:pos="1525" w:val="left" w:leader="none"/>
        </w:tabs>
        <w:spacing w:line="240" w:lineRule="auto" w:before="0" w:after="0"/>
        <w:ind w:left="1524" w:right="0" w:hanging="341"/>
        <w:jc w:val="left"/>
        <w:rPr>
          <w:sz w:val="22"/>
        </w:rPr>
      </w:pPr>
      <w:r>
        <w:rPr>
          <w:sz w:val="22"/>
        </w:rPr>
        <w:t>to</w:t>
      </w:r>
      <w:r>
        <w:rPr>
          <w:spacing w:val="7"/>
          <w:sz w:val="22"/>
        </w:rPr>
        <w:t> </w:t>
      </w:r>
      <w:r>
        <w:rPr>
          <w:sz w:val="22"/>
        </w:rPr>
        <w:t>use</w:t>
      </w:r>
      <w:r>
        <w:rPr>
          <w:spacing w:val="7"/>
          <w:sz w:val="22"/>
        </w:rPr>
        <w:t> </w:t>
      </w:r>
      <w:r>
        <w:rPr>
          <w:sz w:val="22"/>
        </w:rPr>
        <w:t>all</w:t>
      </w:r>
      <w:r>
        <w:rPr>
          <w:spacing w:val="7"/>
          <w:sz w:val="22"/>
        </w:rPr>
        <w:t> </w:t>
      </w:r>
      <w:r>
        <w:rPr>
          <w:sz w:val="22"/>
        </w:rPr>
        <w:t>possible</w:t>
      </w:r>
      <w:r>
        <w:rPr>
          <w:spacing w:val="6"/>
          <w:sz w:val="22"/>
        </w:rPr>
        <w:t> </w:t>
      </w:r>
      <w:r>
        <w:rPr>
          <w:sz w:val="22"/>
        </w:rPr>
        <w:t>means,</w:t>
      </w:r>
      <w:r>
        <w:rPr>
          <w:spacing w:val="8"/>
          <w:sz w:val="22"/>
        </w:rPr>
        <w:t> </w:t>
      </w:r>
      <w:r>
        <w:rPr>
          <w:sz w:val="22"/>
        </w:rPr>
        <w:t>including</w:t>
      </w:r>
      <w:r>
        <w:rPr>
          <w:spacing w:val="7"/>
          <w:sz w:val="22"/>
        </w:rPr>
        <w:t> </w:t>
      </w:r>
      <w:r>
        <w:rPr>
          <w:sz w:val="22"/>
        </w:rPr>
        <w:t>force</w:t>
      </w:r>
      <w:r>
        <w:rPr>
          <w:spacing w:val="7"/>
          <w:sz w:val="22"/>
        </w:rPr>
        <w:t> </w:t>
      </w:r>
      <w:r>
        <w:rPr>
          <w:sz w:val="22"/>
        </w:rPr>
        <w:t>to</w:t>
      </w:r>
      <w:r>
        <w:rPr>
          <w:spacing w:val="7"/>
          <w:sz w:val="22"/>
        </w:rPr>
        <w:t> </w:t>
      </w:r>
      <w:r>
        <w:rPr>
          <w:sz w:val="22"/>
        </w:rPr>
        <w:t>prevent</w:t>
      </w:r>
      <w:r>
        <w:rPr>
          <w:spacing w:val="7"/>
          <w:sz w:val="22"/>
        </w:rPr>
        <w:t> </w:t>
      </w:r>
      <w:r>
        <w:rPr>
          <w:spacing w:val="-2"/>
          <w:sz w:val="22"/>
        </w:rPr>
        <w:t>U.D.I.;</w:t>
      </w:r>
    </w:p>
    <w:p>
      <w:pPr>
        <w:pStyle w:val="BodyText"/>
        <w:rPr>
          <w:sz w:val="24"/>
        </w:rPr>
      </w:pPr>
    </w:p>
    <w:p>
      <w:pPr>
        <w:pStyle w:val="BodyText"/>
        <w:spacing w:before="7"/>
        <w:rPr>
          <w:sz w:val="21"/>
        </w:rPr>
      </w:pPr>
    </w:p>
    <w:p>
      <w:pPr>
        <w:pStyle w:val="ListParagraph"/>
        <w:numPr>
          <w:ilvl w:val="1"/>
          <w:numId w:val="1"/>
        </w:numPr>
        <w:tabs>
          <w:tab w:pos="1525" w:val="left" w:leader="none"/>
        </w:tabs>
        <w:spacing w:line="369" w:lineRule="auto" w:before="1" w:after="0"/>
        <w:ind w:left="1524" w:right="162" w:hanging="341"/>
        <w:jc w:val="both"/>
        <w:rPr>
          <w:sz w:val="22"/>
        </w:rPr>
      </w:pPr>
      <w:r>
        <w:rPr>
          <w:sz w:val="22"/>
        </w:rPr>
        <w:t>to</w:t>
      </w:r>
      <w:r>
        <w:rPr>
          <w:spacing w:val="40"/>
          <w:sz w:val="22"/>
        </w:rPr>
        <w:t> </w:t>
      </w:r>
      <w:r>
        <w:rPr>
          <w:sz w:val="22"/>
        </w:rPr>
        <w:t>give</w:t>
      </w:r>
      <w:r>
        <w:rPr>
          <w:spacing w:val="40"/>
          <w:sz w:val="22"/>
        </w:rPr>
        <w:t> </w:t>
      </w:r>
      <w:r>
        <w:rPr>
          <w:sz w:val="22"/>
        </w:rPr>
        <w:t>immediate</w:t>
      </w:r>
      <w:r>
        <w:rPr>
          <w:spacing w:val="40"/>
          <w:sz w:val="22"/>
        </w:rPr>
        <w:t> </w:t>
      </w:r>
      <w:r>
        <w:rPr>
          <w:sz w:val="22"/>
        </w:rPr>
        <w:t>assistance</w:t>
      </w:r>
      <w:r>
        <w:rPr>
          <w:spacing w:val="40"/>
          <w:sz w:val="22"/>
        </w:rPr>
        <w:t> </w:t>
      </w:r>
      <w:r>
        <w:rPr>
          <w:sz w:val="22"/>
        </w:rPr>
        <w:t>to</w:t>
      </w:r>
      <w:r>
        <w:rPr>
          <w:spacing w:val="40"/>
          <w:sz w:val="22"/>
        </w:rPr>
        <w:t> </w:t>
      </w:r>
      <w:r>
        <w:rPr>
          <w:sz w:val="22"/>
        </w:rPr>
        <w:t>the</w:t>
      </w:r>
      <w:r>
        <w:rPr>
          <w:spacing w:val="40"/>
          <w:sz w:val="22"/>
        </w:rPr>
        <w:t> </w:t>
      </w:r>
      <w:r>
        <w:rPr>
          <w:sz w:val="22"/>
        </w:rPr>
        <w:t>people</w:t>
      </w:r>
      <w:r>
        <w:rPr>
          <w:spacing w:val="40"/>
          <w:sz w:val="22"/>
        </w:rPr>
        <w:t> </w:t>
      </w:r>
      <w:r>
        <w:rPr>
          <w:sz w:val="22"/>
        </w:rPr>
        <w:t>of</w:t>
      </w:r>
      <w:r>
        <w:rPr>
          <w:spacing w:val="40"/>
          <w:sz w:val="22"/>
        </w:rPr>
        <w:t> </w:t>
      </w:r>
      <w:r>
        <w:rPr>
          <w:sz w:val="22"/>
        </w:rPr>
        <w:t>Zimbabwe</w:t>
      </w:r>
      <w:r>
        <w:rPr>
          <w:spacing w:val="40"/>
          <w:sz w:val="22"/>
        </w:rPr>
        <w:t> </w:t>
      </w:r>
      <w:r>
        <w:rPr>
          <w:sz w:val="22"/>
        </w:rPr>
        <w:t>in</w:t>
      </w:r>
      <w:r>
        <w:rPr>
          <w:spacing w:val="40"/>
          <w:sz w:val="22"/>
        </w:rPr>
        <w:t> </w:t>
      </w:r>
      <w:r>
        <w:rPr>
          <w:sz w:val="22"/>
        </w:rPr>
        <w:t>order</w:t>
      </w:r>
      <w:r>
        <w:rPr>
          <w:spacing w:val="40"/>
          <w:sz w:val="22"/>
        </w:rPr>
        <w:t> </w:t>
      </w:r>
      <w:r>
        <w:rPr>
          <w:sz w:val="22"/>
        </w:rPr>
        <w:t>to</w:t>
      </w:r>
      <w:r>
        <w:rPr>
          <w:spacing w:val="40"/>
          <w:sz w:val="22"/>
        </w:rPr>
        <w:t> </w:t>
      </w:r>
      <w:r>
        <w:rPr>
          <w:sz w:val="22"/>
        </w:rPr>
        <w:t>bring about majority rule in the country;</w:t>
      </w:r>
    </w:p>
    <w:p>
      <w:pPr>
        <w:pStyle w:val="BodyText"/>
        <w:spacing w:before="1"/>
        <w:rPr>
          <w:sz w:val="34"/>
        </w:rPr>
      </w:pPr>
    </w:p>
    <w:p>
      <w:pPr>
        <w:pStyle w:val="ListParagraph"/>
        <w:numPr>
          <w:ilvl w:val="1"/>
          <w:numId w:val="1"/>
        </w:numPr>
        <w:tabs>
          <w:tab w:pos="1525" w:val="left" w:leader="none"/>
        </w:tabs>
        <w:spacing w:line="369" w:lineRule="auto" w:before="0" w:after="0"/>
        <w:ind w:left="1524" w:right="155" w:hanging="341"/>
        <w:jc w:val="both"/>
        <w:rPr>
          <w:sz w:val="22"/>
        </w:rPr>
      </w:pPr>
      <w:r>
        <w:rPr>
          <w:sz w:val="22"/>
        </w:rPr>
        <w:t>to appoint a special Committee to work out all forms of assistance to Southern </w:t>
      </w:r>
      <w:r>
        <w:rPr>
          <w:spacing w:val="-2"/>
          <w:sz w:val="22"/>
        </w:rPr>
        <w:t>Rhodesia;</w:t>
      </w:r>
    </w:p>
    <w:p>
      <w:pPr>
        <w:pStyle w:val="BodyText"/>
        <w:spacing w:before="2"/>
        <w:rPr>
          <w:sz w:val="33"/>
        </w:rPr>
      </w:pPr>
    </w:p>
    <w:p>
      <w:pPr>
        <w:pStyle w:val="ListParagraph"/>
        <w:numPr>
          <w:ilvl w:val="0"/>
          <w:numId w:val="1"/>
        </w:numPr>
        <w:tabs>
          <w:tab w:pos="1184" w:val="left" w:leader="none"/>
        </w:tabs>
        <w:spacing w:line="372" w:lineRule="auto" w:before="1" w:after="0"/>
        <w:ind w:left="1183" w:right="163" w:hanging="336"/>
        <w:jc w:val="both"/>
        <w:rPr>
          <w:sz w:val="22"/>
        </w:rPr>
      </w:pPr>
      <w:r>
        <w:rPr>
          <w:b/>
          <w:sz w:val="22"/>
        </w:rPr>
        <w:t>REQUESTS </w:t>
      </w:r>
      <w:r>
        <w:rPr>
          <w:sz w:val="22"/>
        </w:rPr>
        <w:t>those African States who are members of the Commonwealth to use</w:t>
      </w:r>
      <w:r>
        <w:rPr>
          <w:spacing w:val="40"/>
          <w:sz w:val="22"/>
        </w:rPr>
        <w:t> </w:t>
      </w:r>
      <w:r>
        <w:rPr>
          <w:sz w:val="22"/>
        </w:rPr>
        <w:t>all</w:t>
      </w:r>
      <w:r>
        <w:rPr>
          <w:spacing w:val="22"/>
          <w:sz w:val="22"/>
        </w:rPr>
        <w:t> </w:t>
      </w:r>
      <w:r>
        <w:rPr>
          <w:sz w:val="22"/>
        </w:rPr>
        <w:t>possible</w:t>
      </w:r>
      <w:r>
        <w:rPr>
          <w:spacing w:val="22"/>
          <w:sz w:val="22"/>
        </w:rPr>
        <w:t> </w:t>
      </w:r>
      <w:r>
        <w:rPr>
          <w:sz w:val="22"/>
        </w:rPr>
        <w:t>means</w:t>
      </w:r>
      <w:r>
        <w:rPr>
          <w:spacing w:val="21"/>
          <w:sz w:val="22"/>
        </w:rPr>
        <w:t> </w:t>
      </w:r>
      <w:r>
        <w:rPr>
          <w:sz w:val="22"/>
        </w:rPr>
        <w:t>at</w:t>
      </w:r>
      <w:r>
        <w:rPr>
          <w:spacing w:val="21"/>
          <w:sz w:val="22"/>
        </w:rPr>
        <w:t> </w:t>
      </w:r>
      <w:r>
        <w:rPr>
          <w:sz w:val="22"/>
        </w:rPr>
        <w:t>their</w:t>
      </w:r>
      <w:r>
        <w:rPr>
          <w:spacing w:val="22"/>
          <w:sz w:val="22"/>
        </w:rPr>
        <w:t> </w:t>
      </w:r>
      <w:r>
        <w:rPr>
          <w:sz w:val="22"/>
        </w:rPr>
        <w:t>disposal</w:t>
      </w:r>
      <w:r>
        <w:rPr>
          <w:spacing w:val="21"/>
          <w:sz w:val="22"/>
        </w:rPr>
        <w:t> </w:t>
      </w:r>
      <w:r>
        <w:rPr>
          <w:sz w:val="22"/>
        </w:rPr>
        <w:t>to</w:t>
      </w:r>
      <w:r>
        <w:rPr>
          <w:spacing w:val="23"/>
          <w:sz w:val="22"/>
        </w:rPr>
        <w:t> </w:t>
      </w:r>
      <w:r>
        <w:rPr>
          <w:sz w:val="22"/>
        </w:rPr>
        <w:t>bring</w:t>
      </w:r>
      <w:r>
        <w:rPr>
          <w:spacing w:val="21"/>
          <w:sz w:val="22"/>
        </w:rPr>
        <w:t> </w:t>
      </w:r>
      <w:r>
        <w:rPr>
          <w:sz w:val="22"/>
        </w:rPr>
        <w:t>about</w:t>
      </w:r>
      <w:r>
        <w:rPr>
          <w:spacing w:val="21"/>
          <w:sz w:val="22"/>
        </w:rPr>
        <w:t> </w:t>
      </w:r>
      <w:r>
        <w:rPr>
          <w:sz w:val="22"/>
        </w:rPr>
        <w:t>a</w:t>
      </w:r>
      <w:r>
        <w:rPr>
          <w:spacing w:val="22"/>
          <w:sz w:val="22"/>
        </w:rPr>
        <w:t> </w:t>
      </w:r>
      <w:r>
        <w:rPr>
          <w:sz w:val="22"/>
        </w:rPr>
        <w:t>speedy</w:t>
      </w:r>
      <w:r>
        <w:rPr>
          <w:spacing w:val="21"/>
          <w:sz w:val="22"/>
        </w:rPr>
        <w:t> </w:t>
      </w:r>
      <w:r>
        <w:rPr>
          <w:sz w:val="22"/>
        </w:rPr>
        <w:t>and</w:t>
      </w:r>
      <w:r>
        <w:rPr>
          <w:spacing w:val="23"/>
          <w:sz w:val="22"/>
        </w:rPr>
        <w:t> </w:t>
      </w:r>
      <w:r>
        <w:rPr>
          <w:sz w:val="22"/>
        </w:rPr>
        <w:t>effective</w:t>
      </w:r>
      <w:r>
        <w:rPr>
          <w:spacing w:val="22"/>
          <w:sz w:val="22"/>
        </w:rPr>
        <w:t> </w:t>
      </w:r>
      <w:r>
        <w:rPr>
          <w:sz w:val="22"/>
        </w:rPr>
        <w:t>solution to the Rhodesian problem;</w:t>
      </w:r>
    </w:p>
    <w:p>
      <w:pPr>
        <w:pStyle w:val="BodyText"/>
        <w:spacing w:before="4"/>
        <w:rPr>
          <w:sz w:val="33"/>
        </w:rPr>
      </w:pPr>
    </w:p>
    <w:p>
      <w:pPr>
        <w:pStyle w:val="ListParagraph"/>
        <w:numPr>
          <w:ilvl w:val="0"/>
          <w:numId w:val="1"/>
        </w:numPr>
        <w:tabs>
          <w:tab w:pos="1184" w:val="left" w:leader="none"/>
        </w:tabs>
        <w:spacing w:line="369" w:lineRule="auto" w:before="0" w:after="0"/>
        <w:ind w:left="1184" w:right="168" w:hanging="336"/>
        <w:jc w:val="both"/>
        <w:rPr>
          <w:sz w:val="22"/>
        </w:rPr>
      </w:pPr>
      <w:r>
        <w:rPr>
          <w:b/>
          <w:sz w:val="22"/>
        </w:rPr>
        <w:t>APPEALS </w:t>
      </w:r>
      <w:r>
        <w:rPr>
          <w:sz w:val="22"/>
        </w:rPr>
        <w:t>to all Governments not to recognize or give assistance of any kind of any minority government in Rhodesia established as a result of U.D.I.;</w:t>
      </w:r>
    </w:p>
    <w:p>
      <w:pPr>
        <w:pStyle w:val="BodyText"/>
        <w:spacing w:before="7"/>
        <w:rPr>
          <w:sz w:val="33"/>
        </w:rPr>
      </w:pPr>
    </w:p>
    <w:p>
      <w:pPr>
        <w:pStyle w:val="ListParagraph"/>
        <w:numPr>
          <w:ilvl w:val="0"/>
          <w:numId w:val="1"/>
        </w:numPr>
        <w:tabs>
          <w:tab w:pos="1184" w:val="left" w:leader="none"/>
        </w:tabs>
        <w:spacing w:line="369" w:lineRule="auto" w:before="1" w:after="0"/>
        <w:ind w:left="1183" w:right="149" w:hanging="336"/>
        <w:jc w:val="both"/>
        <w:rPr>
          <w:sz w:val="22"/>
        </w:rPr>
      </w:pPr>
      <w:r>
        <w:rPr>
          <w:b/>
          <w:sz w:val="22"/>
        </w:rPr>
        <w:t>URGENTLY APPEALS </w:t>
      </w:r>
      <w:r>
        <w:rPr>
          <w:sz w:val="22"/>
        </w:rPr>
        <w:t>once again to the United Nations and specially the Security Council to undertake without delay all possible means to prevent U.E.I.</w:t>
      </w:r>
      <w:r>
        <w:rPr>
          <w:spacing w:val="80"/>
          <w:sz w:val="22"/>
        </w:rPr>
        <w:t> </w:t>
      </w:r>
      <w:r>
        <w:rPr>
          <w:sz w:val="22"/>
        </w:rPr>
        <w:t>and</w:t>
      </w:r>
      <w:r>
        <w:rPr>
          <w:spacing w:val="40"/>
          <w:sz w:val="22"/>
        </w:rPr>
        <w:t> </w:t>
      </w:r>
      <w:r>
        <w:rPr>
          <w:sz w:val="22"/>
        </w:rPr>
        <w:t>help</w:t>
      </w:r>
      <w:r>
        <w:rPr>
          <w:spacing w:val="40"/>
          <w:sz w:val="22"/>
        </w:rPr>
        <w:t> </w:t>
      </w:r>
      <w:r>
        <w:rPr>
          <w:sz w:val="22"/>
        </w:rPr>
        <w:t>bring</w:t>
      </w:r>
      <w:r>
        <w:rPr>
          <w:spacing w:val="40"/>
          <w:sz w:val="22"/>
        </w:rPr>
        <w:t> </w:t>
      </w:r>
      <w:r>
        <w:rPr>
          <w:sz w:val="22"/>
        </w:rPr>
        <w:t>about</w:t>
      </w:r>
      <w:r>
        <w:rPr>
          <w:spacing w:val="40"/>
          <w:sz w:val="22"/>
        </w:rPr>
        <w:t> </w:t>
      </w:r>
      <w:r>
        <w:rPr>
          <w:sz w:val="22"/>
        </w:rPr>
        <w:t>majority</w:t>
      </w:r>
      <w:r>
        <w:rPr>
          <w:spacing w:val="40"/>
          <w:sz w:val="22"/>
        </w:rPr>
        <w:t> </w:t>
      </w:r>
      <w:r>
        <w:rPr>
          <w:sz w:val="22"/>
        </w:rPr>
        <w:t>rule</w:t>
      </w:r>
      <w:r>
        <w:rPr>
          <w:spacing w:val="40"/>
          <w:sz w:val="22"/>
        </w:rPr>
        <w:t> </w:t>
      </w:r>
      <w:r>
        <w:rPr>
          <w:sz w:val="22"/>
        </w:rPr>
        <w:t>in</w:t>
      </w:r>
      <w:r>
        <w:rPr>
          <w:spacing w:val="40"/>
          <w:sz w:val="22"/>
        </w:rPr>
        <w:t> </w:t>
      </w:r>
      <w:r>
        <w:rPr>
          <w:sz w:val="22"/>
        </w:rPr>
        <w:t>Rhodesia</w:t>
      </w:r>
      <w:r>
        <w:rPr>
          <w:spacing w:val="40"/>
          <w:sz w:val="22"/>
        </w:rPr>
        <w:t> </w:t>
      </w:r>
      <w:r>
        <w:rPr>
          <w:sz w:val="22"/>
        </w:rPr>
        <w:t>on</w:t>
      </w:r>
      <w:r>
        <w:rPr>
          <w:spacing w:val="40"/>
          <w:sz w:val="22"/>
        </w:rPr>
        <w:t> </w:t>
      </w:r>
      <w:r>
        <w:rPr>
          <w:sz w:val="22"/>
        </w:rPr>
        <w:t>the</w:t>
      </w:r>
      <w:r>
        <w:rPr>
          <w:spacing w:val="40"/>
          <w:sz w:val="22"/>
        </w:rPr>
        <w:t> </w:t>
      </w:r>
      <w:r>
        <w:rPr>
          <w:sz w:val="22"/>
        </w:rPr>
        <w:t>basis</w:t>
      </w:r>
      <w:r>
        <w:rPr>
          <w:spacing w:val="40"/>
          <w:sz w:val="22"/>
        </w:rPr>
        <w:t> </w:t>
      </w:r>
      <w:r>
        <w:rPr>
          <w:sz w:val="22"/>
        </w:rPr>
        <w:t>of</w:t>
      </w:r>
      <w:r>
        <w:rPr>
          <w:spacing w:val="40"/>
          <w:sz w:val="22"/>
        </w:rPr>
        <w:t> </w:t>
      </w:r>
      <w:r>
        <w:rPr>
          <w:sz w:val="22"/>
        </w:rPr>
        <w:t>“one,</w:t>
      </w:r>
      <w:r>
        <w:rPr>
          <w:spacing w:val="40"/>
          <w:sz w:val="22"/>
        </w:rPr>
        <w:t> </w:t>
      </w:r>
      <w:r>
        <w:rPr>
          <w:sz w:val="22"/>
        </w:rPr>
        <w:t>man,</w:t>
      </w:r>
      <w:r>
        <w:rPr>
          <w:spacing w:val="40"/>
          <w:sz w:val="22"/>
        </w:rPr>
        <w:t> </w:t>
      </w:r>
      <w:r>
        <w:rPr>
          <w:sz w:val="22"/>
        </w:rPr>
        <w:t>one </w:t>
      </w:r>
      <w:r>
        <w:rPr>
          <w:spacing w:val="-2"/>
          <w:sz w:val="22"/>
        </w:rPr>
        <w:t>vote”;</w:t>
      </w:r>
    </w:p>
    <w:p>
      <w:pPr>
        <w:pStyle w:val="BodyText"/>
        <w:spacing w:before="6"/>
        <w:rPr>
          <w:sz w:val="33"/>
        </w:rPr>
      </w:pPr>
    </w:p>
    <w:p>
      <w:pPr>
        <w:pStyle w:val="ListParagraph"/>
        <w:numPr>
          <w:ilvl w:val="0"/>
          <w:numId w:val="1"/>
        </w:numPr>
        <w:tabs>
          <w:tab w:pos="1184" w:val="left" w:leader="none"/>
        </w:tabs>
        <w:spacing w:line="369" w:lineRule="auto" w:before="0" w:after="0"/>
        <w:ind w:left="1183" w:right="147" w:hanging="336"/>
        <w:jc w:val="both"/>
        <w:rPr>
          <w:sz w:val="22"/>
        </w:rPr>
      </w:pPr>
      <w:r>
        <w:rPr>
          <w:b/>
          <w:sz w:val="22"/>
        </w:rPr>
        <w:t>EMPOWERS </w:t>
      </w:r>
      <w:r>
        <w:rPr>
          <w:sz w:val="22"/>
        </w:rPr>
        <w:t>the African Group at the United Nations with the assistance of the Secretary-General of the OAU to secure the realization of the request addressed to the United</w:t>
      </w:r>
      <w:r>
        <w:rPr>
          <w:spacing w:val="40"/>
          <w:sz w:val="22"/>
        </w:rPr>
        <w:t> </w:t>
      </w:r>
      <w:r>
        <w:rPr>
          <w:sz w:val="22"/>
        </w:rPr>
        <w:t>Nations and</w:t>
      </w:r>
      <w:r>
        <w:rPr>
          <w:spacing w:val="40"/>
          <w:sz w:val="22"/>
        </w:rPr>
        <w:t> </w:t>
      </w:r>
      <w:r>
        <w:rPr>
          <w:sz w:val="22"/>
        </w:rPr>
        <w:t>the Security Council with a view to</w:t>
      </w:r>
      <w:r>
        <w:rPr>
          <w:spacing w:val="40"/>
          <w:sz w:val="22"/>
        </w:rPr>
        <w:t> </w:t>
      </w:r>
      <w:r>
        <w:rPr>
          <w:sz w:val="22"/>
        </w:rPr>
        <w:t>implementing paragraph 7 above.</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4.200012pt;margin-top:34.068241pt;width:75.45pt;height:14.5pt;mso-position-horizontal-relative:page;mso-position-vertical-relative:page;z-index:-15766016" type="#_x0000_t202" id="docshape1" filled="false" stroked="false">
          <v:textbox inset="0,0,0,0">
            <w:txbxContent>
              <w:p>
                <w:pPr>
                  <w:pStyle w:val="BodyText"/>
                  <w:spacing w:before="15"/>
                  <w:ind w:left="20"/>
                </w:pPr>
                <w:r>
                  <w:rPr/>
                  <w:t>CM/Res.</w:t>
                </w:r>
                <w:r>
                  <w:rPr>
                    <w:spacing w:val="13"/>
                  </w:rPr>
                  <w:t> </w:t>
                </w:r>
                <w:r>
                  <w:rPr/>
                  <w:t>62</w:t>
                </w:r>
                <w:r>
                  <w:rPr>
                    <w:spacing w:val="14"/>
                  </w:rPr>
                  <w:t> </w:t>
                </w:r>
                <w:r>
                  <w:rPr>
                    <w:spacing w:val="-5"/>
                  </w:rPr>
                  <w:t>(V)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328" w:hanging="341"/>
      </w:pPr>
      <w:rPr>
        <w:rFonts w:hint="default"/>
        <w:lang w:val="en-US" w:eastAsia="en-US" w:bidi="ar-SA"/>
      </w:rPr>
    </w:lvl>
    <w:lvl w:ilvl="3">
      <w:start w:val="0"/>
      <w:numFmt w:val="bullet"/>
      <w:lvlText w:val="•"/>
      <w:lvlJc w:val="left"/>
      <w:pPr>
        <w:ind w:left="3137" w:hanging="341"/>
      </w:pPr>
      <w:rPr>
        <w:rFonts w:hint="default"/>
        <w:lang w:val="en-US" w:eastAsia="en-US" w:bidi="ar-SA"/>
      </w:rPr>
    </w:lvl>
    <w:lvl w:ilvl="4">
      <w:start w:val="0"/>
      <w:numFmt w:val="bullet"/>
      <w:lvlText w:val="•"/>
      <w:lvlJc w:val="left"/>
      <w:pPr>
        <w:ind w:left="3946" w:hanging="341"/>
      </w:pPr>
      <w:rPr>
        <w:rFonts w:hint="default"/>
        <w:lang w:val="en-US" w:eastAsia="en-US" w:bidi="ar-SA"/>
      </w:rPr>
    </w:lvl>
    <w:lvl w:ilvl="5">
      <w:start w:val="0"/>
      <w:numFmt w:val="bullet"/>
      <w:lvlText w:val="•"/>
      <w:lvlJc w:val="left"/>
      <w:pPr>
        <w:ind w:left="4755" w:hanging="341"/>
      </w:pPr>
      <w:rPr>
        <w:rFonts w:hint="default"/>
        <w:lang w:val="en-US" w:eastAsia="en-US" w:bidi="ar-SA"/>
      </w:rPr>
    </w:lvl>
    <w:lvl w:ilvl="6">
      <w:start w:val="0"/>
      <w:numFmt w:val="bullet"/>
      <w:lvlText w:val="•"/>
      <w:lvlJc w:val="left"/>
      <w:pPr>
        <w:ind w:left="5564" w:hanging="341"/>
      </w:pPr>
      <w:rPr>
        <w:rFonts w:hint="default"/>
        <w:lang w:val="en-US" w:eastAsia="en-US" w:bidi="ar-SA"/>
      </w:rPr>
    </w:lvl>
    <w:lvl w:ilvl="7">
      <w:start w:val="0"/>
      <w:numFmt w:val="bullet"/>
      <w:lvlText w:val="•"/>
      <w:lvlJc w:val="left"/>
      <w:pPr>
        <w:ind w:left="6373" w:hanging="341"/>
      </w:pPr>
      <w:rPr>
        <w:rFonts w:hint="default"/>
        <w:lang w:val="en-US" w:eastAsia="en-US" w:bidi="ar-SA"/>
      </w:rPr>
    </w:lvl>
    <w:lvl w:ilvl="8">
      <w:start w:val="0"/>
      <w:numFmt w:val="bullet"/>
      <w:lvlText w:val="•"/>
      <w:lvlJc w:val="left"/>
      <w:pPr>
        <w:ind w:left="7182"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3158" w:right="3139"/>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524" w:right="158"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FIFTH ORDINARY SESSION OF THE COUNCIL OF MINISTERS HELD IN ACCRA, GHANA FROM 14 TO 21 OCTOBER 1965</dc:title>
  <dcterms:created xsi:type="dcterms:W3CDTF">2023-06-06T12:54:38Z</dcterms:created>
  <dcterms:modified xsi:type="dcterms:W3CDTF">2023-06-06T12:54:38Z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