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6"/>
        <w:jc w:val="right"/>
      </w:pPr>
      <w:r>
        <w:rPr/>
        <w:t>CM/RES.</w:t>
      </w:r>
      <w:r>
        <w:rPr>
          <w:spacing w:val="17"/>
        </w:rPr>
        <w:t> </w:t>
      </w:r>
      <w:r>
        <w:rPr/>
        <w:t>70</w:t>
      </w:r>
      <w:r>
        <w:rPr>
          <w:spacing w:val="17"/>
        </w:rPr>
        <w:t> </w:t>
      </w:r>
      <w:r>
        <w:rPr>
          <w:spacing w:val="-5"/>
        </w:rPr>
        <w:t>(V)</w:t>
      </w:r>
    </w:p>
    <w:p>
      <w:pPr>
        <w:pStyle w:val="BodyText"/>
        <w:spacing w:before="2"/>
        <w:rPr>
          <w:sz w:val="35"/>
        </w:rPr>
      </w:pPr>
    </w:p>
    <w:p>
      <w:pPr>
        <w:pStyle w:val="Title"/>
        <w:rPr>
          <w:u w:val="none"/>
        </w:rPr>
      </w:pPr>
      <w:r>
        <w:rPr>
          <w:u w:val="single"/>
        </w:rPr>
        <w:t>RESOLUTION</w:t>
      </w:r>
      <w:r>
        <w:rPr>
          <w:spacing w:val="8"/>
          <w:u w:val="single"/>
        </w:rPr>
        <w:t> </w:t>
      </w:r>
      <w:r>
        <w:rPr>
          <w:u w:val="single"/>
        </w:rPr>
        <w:t>ON</w:t>
      </w:r>
      <w:r>
        <w:rPr>
          <w:spacing w:val="11"/>
          <w:u w:val="single"/>
        </w:rPr>
        <w:t> </w:t>
      </w:r>
      <w:r>
        <w:rPr>
          <w:u w:val="single"/>
        </w:rPr>
        <w:t>THE</w:t>
      </w:r>
      <w:r>
        <w:rPr>
          <w:spacing w:val="10"/>
          <w:u w:val="single"/>
        </w:rPr>
        <w:t> </w:t>
      </w:r>
      <w:r>
        <w:rPr>
          <w:u w:val="single"/>
        </w:rPr>
        <w:t>LIBERATION</w:t>
      </w:r>
      <w:r>
        <w:rPr>
          <w:spacing w:val="11"/>
          <w:u w:val="single"/>
        </w:rPr>
        <w:t> </w:t>
      </w:r>
      <w:r>
        <w:rPr>
          <w:spacing w:val="-2"/>
          <w:u w:val="single"/>
        </w:rPr>
        <w:t>COMMITTEE</w:t>
      </w:r>
    </w:p>
    <w:p>
      <w:pPr>
        <w:pStyle w:val="BodyText"/>
        <w:rPr>
          <w:b/>
          <w:sz w:val="20"/>
        </w:rPr>
      </w:pPr>
    </w:p>
    <w:p>
      <w:pPr>
        <w:pStyle w:val="BodyText"/>
        <w:spacing w:before="10"/>
        <w:rPr>
          <w:b/>
          <w:sz w:val="16"/>
        </w:rPr>
      </w:pPr>
    </w:p>
    <w:p>
      <w:pPr>
        <w:pStyle w:val="BodyText"/>
        <w:spacing w:line="364" w:lineRule="auto" w:before="96"/>
        <w:ind w:left="171" w:right="154"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Fifth</w:t>
      </w:r>
      <w:r>
        <w:rPr>
          <w:spacing w:val="40"/>
        </w:rPr>
        <w:t> </w:t>
      </w:r>
      <w:r>
        <w:rPr/>
        <w:t>Ordinary</w:t>
      </w:r>
      <w:r>
        <w:rPr>
          <w:spacing w:val="40"/>
        </w:rPr>
        <w:t> </w:t>
      </w:r>
      <w:r>
        <w:rPr/>
        <w:t>Session</w:t>
      </w:r>
      <w:r>
        <w:rPr>
          <w:spacing w:val="40"/>
        </w:rPr>
        <w:t> </w:t>
      </w:r>
      <w:r>
        <w:rPr/>
        <w:t>in</w:t>
      </w:r>
      <w:r>
        <w:rPr>
          <w:spacing w:val="40"/>
        </w:rPr>
        <w:t> </w:t>
      </w:r>
      <w:r>
        <w:rPr/>
        <w:t>Accra,</w:t>
      </w:r>
      <w:r>
        <w:rPr>
          <w:spacing w:val="40"/>
        </w:rPr>
        <w:t> </w:t>
      </w:r>
      <w:r>
        <w:rPr/>
        <w:t>Ghana, from 14 to 21 October 1965,</w:t>
      </w:r>
    </w:p>
    <w:p>
      <w:pPr>
        <w:pStyle w:val="BodyText"/>
        <w:spacing w:before="6"/>
        <w:rPr>
          <w:sz w:val="34"/>
        </w:rPr>
      </w:pPr>
    </w:p>
    <w:p>
      <w:pPr>
        <w:pStyle w:val="BodyText"/>
        <w:ind w:left="848"/>
      </w:pPr>
      <w:r>
        <w:rPr>
          <w:b/>
          <w:u w:val="single"/>
        </w:rPr>
        <w:t>Considering</w:t>
      </w:r>
      <w:r>
        <w:rPr>
          <w:b/>
          <w:spacing w:val="17"/>
        </w:rPr>
        <w:t> </w:t>
      </w:r>
      <w:r>
        <w:rPr/>
        <w:t>the</w:t>
      </w:r>
      <w:r>
        <w:rPr>
          <w:spacing w:val="12"/>
        </w:rPr>
        <w:t> </w:t>
      </w:r>
      <w:r>
        <w:rPr/>
        <w:t>report</w:t>
      </w:r>
      <w:r>
        <w:rPr>
          <w:spacing w:val="9"/>
        </w:rPr>
        <w:t> </w:t>
      </w:r>
      <w:r>
        <w:rPr/>
        <w:t>of</w:t>
      </w:r>
      <w:r>
        <w:rPr>
          <w:spacing w:val="9"/>
        </w:rPr>
        <w:t> </w:t>
      </w:r>
      <w:r>
        <w:rPr/>
        <w:t>the</w:t>
      </w:r>
      <w:r>
        <w:rPr>
          <w:spacing w:val="9"/>
        </w:rPr>
        <w:t> </w:t>
      </w:r>
      <w:r>
        <w:rPr/>
        <w:t>Administrative</w:t>
      </w:r>
      <w:r>
        <w:rPr>
          <w:spacing w:val="9"/>
        </w:rPr>
        <w:t> </w:t>
      </w:r>
      <w:r>
        <w:rPr/>
        <w:t>Secretary-</w:t>
      </w:r>
      <w:r>
        <w:rPr>
          <w:spacing w:val="-2"/>
        </w:rPr>
        <w:t>General,</w:t>
      </w:r>
    </w:p>
    <w:p>
      <w:pPr>
        <w:pStyle w:val="BodyText"/>
        <w:rPr>
          <w:sz w:val="24"/>
        </w:rPr>
      </w:pPr>
    </w:p>
    <w:p>
      <w:pPr>
        <w:pStyle w:val="BodyText"/>
        <w:spacing w:before="7"/>
        <w:rPr>
          <w:sz w:val="21"/>
        </w:rPr>
      </w:pPr>
    </w:p>
    <w:p>
      <w:pPr>
        <w:pStyle w:val="BodyText"/>
        <w:spacing w:line="369" w:lineRule="auto"/>
        <w:ind w:left="171" w:right="156" w:firstLine="676"/>
        <w:jc w:val="both"/>
      </w:pPr>
      <w:r>
        <w:rPr>
          <w:b/>
          <w:u w:val="single"/>
        </w:rPr>
        <w:t>After examining</w:t>
      </w:r>
      <w:r>
        <w:rPr>
          <w:b/>
        </w:rPr>
        <w:t> </w:t>
      </w:r>
      <w:r>
        <w:rPr/>
        <w:t>the important statement of the Head of the United Republic of Tanzania’s delegation,</w:t>
      </w:r>
    </w:p>
    <w:p>
      <w:pPr>
        <w:pStyle w:val="BodyText"/>
        <w:spacing w:before="8"/>
        <w:rPr>
          <w:sz w:val="33"/>
        </w:rPr>
      </w:pPr>
    </w:p>
    <w:p>
      <w:pPr>
        <w:pStyle w:val="BodyText"/>
        <w:spacing w:line="372" w:lineRule="auto"/>
        <w:ind w:left="171" w:right="153" w:firstLine="676"/>
        <w:jc w:val="both"/>
      </w:pPr>
      <w:r>
        <w:rPr>
          <w:b/>
          <w:u w:val="single"/>
        </w:rPr>
        <w:t>Having studied</w:t>
      </w:r>
      <w:r>
        <w:rPr>
          <w:b/>
        </w:rPr>
        <w:t> </w:t>
      </w:r>
      <w:r>
        <w:rPr/>
        <w:t>at length all the questions relating to the structure and the functioning</w:t>
      </w:r>
      <w:r>
        <w:rPr>
          <w:spacing w:val="40"/>
        </w:rPr>
        <w:t> </w:t>
      </w:r>
      <w:r>
        <w:rPr/>
        <w:t>of the Liberation Committee as well as the difficulties which it encounters, especially as</w:t>
      </w:r>
      <w:r>
        <w:rPr>
          <w:spacing w:val="80"/>
        </w:rPr>
        <w:t> </w:t>
      </w:r>
      <w:r>
        <w:rPr/>
        <w:t>regards finances,</w:t>
      </w:r>
    </w:p>
    <w:p>
      <w:pPr>
        <w:pStyle w:val="BodyText"/>
        <w:spacing w:before="11"/>
        <w:rPr>
          <w:sz w:val="32"/>
        </w:rPr>
      </w:pPr>
    </w:p>
    <w:p>
      <w:pPr>
        <w:spacing w:before="0"/>
        <w:ind w:left="848" w:right="0" w:firstLine="0"/>
        <w:jc w:val="left"/>
        <w:rPr>
          <w:sz w:val="22"/>
        </w:rPr>
      </w:pPr>
      <w:r>
        <w:rPr>
          <w:b/>
          <w:sz w:val="22"/>
        </w:rPr>
        <w:t>RECOMMENDS</w:t>
      </w:r>
      <w:r>
        <w:rPr>
          <w:b/>
          <w:spacing w:val="8"/>
          <w:sz w:val="22"/>
        </w:rPr>
        <w:t> </w:t>
      </w:r>
      <w:r>
        <w:rPr>
          <w:sz w:val="22"/>
        </w:rPr>
        <w:t>to</w:t>
      </w:r>
      <w:r>
        <w:rPr>
          <w:spacing w:val="9"/>
          <w:sz w:val="22"/>
        </w:rPr>
        <w:t> </w:t>
      </w:r>
      <w:r>
        <w:rPr>
          <w:sz w:val="22"/>
        </w:rPr>
        <w:t>the</w:t>
      </w:r>
      <w:r>
        <w:rPr>
          <w:spacing w:val="7"/>
          <w:sz w:val="22"/>
        </w:rPr>
        <w:t> </w:t>
      </w:r>
      <w:r>
        <w:rPr>
          <w:sz w:val="22"/>
        </w:rPr>
        <w:t>Heads</w:t>
      </w:r>
      <w:r>
        <w:rPr>
          <w:spacing w:val="7"/>
          <w:sz w:val="22"/>
        </w:rPr>
        <w:t> </w:t>
      </w:r>
      <w:r>
        <w:rPr>
          <w:sz w:val="22"/>
        </w:rPr>
        <w:t>of</w:t>
      </w:r>
      <w:r>
        <w:rPr>
          <w:spacing w:val="8"/>
          <w:sz w:val="22"/>
        </w:rPr>
        <w:t> </w:t>
      </w:r>
      <w:r>
        <w:rPr>
          <w:sz w:val="22"/>
        </w:rPr>
        <w:t>State</w:t>
      </w:r>
      <w:r>
        <w:rPr>
          <w:spacing w:val="7"/>
          <w:sz w:val="22"/>
        </w:rPr>
        <w:t> </w:t>
      </w:r>
      <w:r>
        <w:rPr>
          <w:sz w:val="22"/>
        </w:rPr>
        <w:t>and</w:t>
      </w:r>
      <w:r>
        <w:rPr>
          <w:spacing w:val="9"/>
          <w:sz w:val="22"/>
        </w:rPr>
        <w:t> </w:t>
      </w:r>
      <w:r>
        <w:rPr>
          <w:spacing w:val="-2"/>
          <w:sz w:val="22"/>
        </w:rPr>
        <w:t>Government:</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4" w:right="152" w:hanging="336"/>
        <w:jc w:val="both"/>
        <w:rPr>
          <w:sz w:val="22"/>
        </w:rPr>
      </w:pPr>
      <w:r>
        <w:rPr>
          <w:b/>
          <w:sz w:val="22"/>
        </w:rPr>
        <w:t>TO CONGRATULATE </w:t>
      </w:r>
      <w:r>
        <w:rPr>
          <w:sz w:val="22"/>
        </w:rPr>
        <w:t>the Co-ordinating Committee for the Liberation of</w:t>
      </w:r>
      <w:r>
        <w:rPr>
          <w:spacing w:val="40"/>
          <w:sz w:val="22"/>
        </w:rPr>
        <w:t> </w:t>
      </w:r>
      <w:r>
        <w:rPr>
          <w:sz w:val="22"/>
        </w:rPr>
        <w:t>African on the efforts made in the service of liberating Africa;</w:t>
      </w:r>
    </w:p>
    <w:p>
      <w:pPr>
        <w:pStyle w:val="BodyText"/>
        <w:spacing w:before="8"/>
        <w:rPr>
          <w:sz w:val="33"/>
        </w:rPr>
      </w:pPr>
    </w:p>
    <w:p>
      <w:pPr>
        <w:pStyle w:val="ListParagraph"/>
        <w:numPr>
          <w:ilvl w:val="0"/>
          <w:numId w:val="1"/>
        </w:numPr>
        <w:tabs>
          <w:tab w:pos="1184" w:val="left" w:leader="none"/>
        </w:tabs>
        <w:spacing w:line="369" w:lineRule="auto" w:before="0" w:after="0"/>
        <w:ind w:left="1184" w:right="152" w:hanging="336"/>
        <w:jc w:val="both"/>
        <w:rPr>
          <w:sz w:val="22"/>
        </w:rPr>
      </w:pPr>
      <w:r>
        <w:rPr>
          <w:b/>
          <w:sz w:val="22"/>
        </w:rPr>
        <w:t>TO</w:t>
      </w:r>
      <w:r>
        <w:rPr>
          <w:b/>
          <w:spacing w:val="40"/>
          <w:sz w:val="22"/>
        </w:rPr>
        <w:t> </w:t>
      </w:r>
      <w:r>
        <w:rPr>
          <w:b/>
          <w:sz w:val="22"/>
        </w:rPr>
        <w:t>CONGRATULATE</w:t>
      </w:r>
      <w:r>
        <w:rPr>
          <w:b/>
          <w:spacing w:val="40"/>
          <w:sz w:val="22"/>
        </w:rPr>
        <w:t> </w:t>
      </w:r>
      <w:r>
        <w:rPr>
          <w:sz w:val="22"/>
        </w:rPr>
        <w:t>warmly</w:t>
      </w:r>
      <w:r>
        <w:rPr>
          <w:spacing w:val="40"/>
          <w:sz w:val="22"/>
        </w:rPr>
        <w:t> </w:t>
      </w:r>
      <w:r>
        <w:rPr>
          <w:sz w:val="22"/>
        </w:rPr>
        <w:t>the</w:t>
      </w:r>
      <w:r>
        <w:rPr>
          <w:spacing w:val="40"/>
          <w:sz w:val="22"/>
        </w:rPr>
        <w:t> </w:t>
      </w:r>
      <w:r>
        <w:rPr>
          <w:sz w:val="22"/>
        </w:rPr>
        <w:t>President,</w:t>
      </w:r>
      <w:r>
        <w:rPr>
          <w:spacing w:val="40"/>
          <w:sz w:val="22"/>
        </w:rPr>
        <w:t> </w:t>
      </w:r>
      <w:r>
        <w:rPr>
          <w:sz w:val="22"/>
        </w:rPr>
        <w:t>the</w:t>
      </w:r>
      <w:r>
        <w:rPr>
          <w:spacing w:val="40"/>
          <w:sz w:val="22"/>
        </w:rPr>
        <w:t> </w:t>
      </w:r>
      <w:r>
        <w:rPr>
          <w:sz w:val="22"/>
        </w:rPr>
        <w:t>Government</w:t>
      </w:r>
      <w:r>
        <w:rPr>
          <w:spacing w:val="40"/>
          <w:sz w:val="22"/>
        </w:rPr>
        <w:t> </w:t>
      </w:r>
      <w:r>
        <w:rPr>
          <w:sz w:val="22"/>
        </w:rPr>
        <w:t>and</w:t>
      </w:r>
      <w:r>
        <w:rPr>
          <w:spacing w:val="40"/>
          <w:sz w:val="22"/>
        </w:rPr>
        <w:t> </w:t>
      </w:r>
      <w:r>
        <w:rPr>
          <w:sz w:val="22"/>
        </w:rPr>
        <w:t>the</w:t>
      </w:r>
      <w:r>
        <w:rPr>
          <w:spacing w:val="40"/>
          <w:sz w:val="22"/>
        </w:rPr>
        <w:t> </w:t>
      </w:r>
      <w:r>
        <w:rPr>
          <w:sz w:val="22"/>
        </w:rPr>
        <w:t>people of Tanzania for the generous assistance accorded to the Committee;</w:t>
      </w:r>
    </w:p>
    <w:p>
      <w:pPr>
        <w:pStyle w:val="BodyText"/>
        <w:spacing w:before="8"/>
        <w:rPr>
          <w:sz w:val="33"/>
        </w:rPr>
      </w:pPr>
    </w:p>
    <w:p>
      <w:pPr>
        <w:pStyle w:val="ListParagraph"/>
        <w:numPr>
          <w:ilvl w:val="0"/>
          <w:numId w:val="1"/>
        </w:numPr>
        <w:tabs>
          <w:tab w:pos="1184" w:val="left" w:leader="none"/>
        </w:tabs>
        <w:spacing w:line="372" w:lineRule="auto" w:before="0" w:after="0"/>
        <w:ind w:left="1184" w:right="153" w:hanging="336"/>
        <w:jc w:val="both"/>
        <w:rPr>
          <w:sz w:val="22"/>
        </w:rPr>
      </w:pPr>
      <w:r>
        <w:rPr>
          <w:b/>
          <w:sz w:val="22"/>
        </w:rPr>
        <w:t>TO URGENTLY APPEAL </w:t>
      </w:r>
      <w:r>
        <w:rPr>
          <w:sz w:val="22"/>
        </w:rPr>
        <w:t>to those Member States who have not yet paid their contributions to the Special Fund during the past year and to emphasize the importance and urgency of paying their contributions before January 1966;</w:t>
      </w:r>
    </w:p>
    <w:p>
      <w:pPr>
        <w:pStyle w:val="BodyText"/>
        <w:spacing w:before="11"/>
        <w:rPr>
          <w:sz w:val="32"/>
        </w:rPr>
      </w:pPr>
    </w:p>
    <w:p>
      <w:pPr>
        <w:pStyle w:val="ListParagraph"/>
        <w:numPr>
          <w:ilvl w:val="0"/>
          <w:numId w:val="1"/>
        </w:numPr>
        <w:tabs>
          <w:tab w:pos="1184" w:val="left" w:leader="none"/>
        </w:tabs>
        <w:spacing w:line="369" w:lineRule="auto" w:before="0" w:after="0"/>
        <w:ind w:left="1184" w:right="162" w:hanging="336"/>
        <w:jc w:val="both"/>
        <w:rPr>
          <w:sz w:val="22"/>
        </w:rPr>
      </w:pPr>
      <w:r>
        <w:rPr>
          <w:b/>
          <w:sz w:val="22"/>
        </w:rPr>
        <w:t>TO CONTINUE </w:t>
      </w:r>
      <w:r>
        <w:rPr>
          <w:sz w:val="22"/>
        </w:rPr>
        <w:t>to consider as an urgent and prime necessity the achievement of united front of the Liberation movements in each territory;</w:t>
      </w:r>
    </w:p>
    <w:p>
      <w:pPr>
        <w:pStyle w:val="BodyText"/>
        <w:spacing w:before="1"/>
        <w:rPr>
          <w:sz w:val="34"/>
        </w:rPr>
      </w:pPr>
    </w:p>
    <w:p>
      <w:pPr>
        <w:pStyle w:val="ListParagraph"/>
        <w:numPr>
          <w:ilvl w:val="0"/>
          <w:numId w:val="1"/>
        </w:numPr>
        <w:tabs>
          <w:tab w:pos="1184" w:val="left" w:leader="none"/>
        </w:tabs>
        <w:spacing w:line="369" w:lineRule="auto" w:before="0" w:after="0"/>
        <w:ind w:left="1184" w:right="152" w:hanging="336"/>
        <w:jc w:val="both"/>
        <w:rPr>
          <w:sz w:val="22"/>
        </w:rPr>
      </w:pPr>
      <w:r>
        <w:rPr>
          <w:b/>
          <w:sz w:val="22"/>
        </w:rPr>
        <w:t>TO</w:t>
      </w:r>
      <w:r>
        <w:rPr>
          <w:b/>
          <w:spacing w:val="37"/>
          <w:sz w:val="22"/>
        </w:rPr>
        <w:t> </w:t>
      </w:r>
      <w:r>
        <w:rPr>
          <w:b/>
          <w:sz w:val="22"/>
        </w:rPr>
        <w:t>DECIDE</w:t>
      </w:r>
      <w:r>
        <w:rPr>
          <w:b/>
          <w:spacing w:val="34"/>
          <w:sz w:val="22"/>
        </w:rPr>
        <w:t> </w:t>
      </w:r>
      <w:r>
        <w:rPr>
          <w:sz w:val="22"/>
        </w:rPr>
        <w:t>to</w:t>
      </w:r>
      <w:r>
        <w:rPr>
          <w:spacing w:val="35"/>
          <w:sz w:val="22"/>
        </w:rPr>
        <w:t> </w:t>
      </w:r>
      <w:r>
        <w:rPr>
          <w:sz w:val="22"/>
        </w:rPr>
        <w:t>maintain</w:t>
      </w:r>
      <w:r>
        <w:rPr>
          <w:spacing w:val="33"/>
          <w:sz w:val="22"/>
        </w:rPr>
        <w:t> </w:t>
      </w:r>
      <w:r>
        <w:rPr>
          <w:sz w:val="22"/>
        </w:rPr>
        <w:t>the</w:t>
      </w:r>
      <w:r>
        <w:rPr>
          <w:spacing w:val="34"/>
          <w:sz w:val="22"/>
        </w:rPr>
        <w:t> </w:t>
      </w:r>
      <w:r>
        <w:rPr>
          <w:sz w:val="22"/>
        </w:rPr>
        <w:t>Liberation</w:t>
      </w:r>
      <w:r>
        <w:rPr>
          <w:spacing w:val="33"/>
          <w:sz w:val="22"/>
        </w:rPr>
        <w:t> </w:t>
      </w:r>
      <w:r>
        <w:rPr>
          <w:sz w:val="22"/>
        </w:rPr>
        <w:t>Committee’s</w:t>
      </w:r>
      <w:r>
        <w:rPr>
          <w:spacing w:val="25"/>
          <w:sz w:val="22"/>
        </w:rPr>
        <w:t> </w:t>
      </w:r>
      <w:r>
        <w:rPr>
          <w:sz w:val="22"/>
        </w:rPr>
        <w:t>Executive</w:t>
      </w:r>
      <w:r>
        <w:rPr>
          <w:spacing w:val="26"/>
          <w:sz w:val="22"/>
        </w:rPr>
        <w:t> </w:t>
      </w:r>
      <w:r>
        <w:rPr>
          <w:sz w:val="22"/>
        </w:rPr>
        <w:t>Secretariat,</w:t>
      </w:r>
      <w:r>
        <w:rPr>
          <w:spacing w:val="26"/>
          <w:sz w:val="22"/>
        </w:rPr>
        <w:t> </w:t>
      </w:r>
      <w:r>
        <w:rPr>
          <w:sz w:val="22"/>
        </w:rPr>
        <w:t>that is administratively responsible to the OAU General Secretariat, in pursuance of</w:t>
      </w:r>
      <w:r>
        <w:rPr>
          <w:spacing w:val="40"/>
          <w:sz w:val="22"/>
        </w:rPr>
        <w:t> </w:t>
      </w:r>
      <w:r>
        <w:rPr>
          <w:sz w:val="22"/>
        </w:rPr>
        <w:t>rules 3 and 9 of the Rules of Procedure of the latter, in its appointed task of implementing in an efficient, quick and dynamic manner the decisions of the political authorities of the OAU in respect of decolonization;</w:t>
      </w:r>
    </w:p>
    <w:p>
      <w:pPr>
        <w:spacing w:after="0" w:line="369" w:lineRule="auto"/>
        <w:jc w:val="both"/>
        <w:rPr>
          <w:sz w:val="22"/>
        </w:rPr>
        <w:sectPr>
          <w:type w:val="continuous"/>
          <w:pgSz w:w="12240" w:h="15840"/>
          <w:pgMar w:top="620" w:bottom="280" w:left="1720" w:right="1720"/>
        </w:sectPr>
      </w:pPr>
    </w:p>
    <w:p>
      <w:pPr>
        <w:pStyle w:val="BodyText"/>
        <w:spacing w:before="77"/>
        <w:ind w:right="145"/>
        <w:jc w:val="right"/>
      </w:pPr>
      <w:r>
        <w:rPr/>
        <w:t>CM/Res.</w:t>
      </w:r>
      <w:r>
        <w:rPr>
          <w:spacing w:val="13"/>
        </w:rPr>
        <w:t> </w:t>
      </w:r>
      <w:r>
        <w:rPr/>
        <w:t>62</w:t>
      </w:r>
      <w:r>
        <w:rPr>
          <w:spacing w:val="14"/>
        </w:rPr>
        <w:t> </w:t>
      </w:r>
      <w:r>
        <w:rPr>
          <w:spacing w:val="-5"/>
        </w:rPr>
        <w:t>(V)</w:t>
      </w:r>
    </w:p>
    <w:p>
      <w:pPr>
        <w:pStyle w:val="ListParagraph"/>
        <w:numPr>
          <w:ilvl w:val="0"/>
          <w:numId w:val="1"/>
        </w:numPr>
        <w:tabs>
          <w:tab w:pos="1184" w:val="left" w:leader="none"/>
        </w:tabs>
        <w:spacing w:line="374" w:lineRule="auto" w:before="6" w:after="0"/>
        <w:ind w:left="1183" w:right="160" w:hanging="336"/>
        <w:jc w:val="both"/>
        <w:rPr>
          <w:sz w:val="22"/>
        </w:rPr>
      </w:pPr>
      <w:r>
        <w:rPr>
          <w:b/>
          <w:sz w:val="22"/>
        </w:rPr>
        <w:t>TO DECIDE </w:t>
      </w:r>
      <w:r>
        <w:rPr>
          <w:sz w:val="22"/>
        </w:rPr>
        <w:t>that the nomination of the Executive Secretary should be made with the agreement of the authorities of the country of the Headquarters;</w:t>
      </w:r>
    </w:p>
    <w:p>
      <w:pPr>
        <w:pStyle w:val="BodyText"/>
        <w:spacing w:before="2"/>
        <w:rPr>
          <w:sz w:val="33"/>
        </w:rPr>
      </w:pPr>
    </w:p>
    <w:p>
      <w:pPr>
        <w:pStyle w:val="ListParagraph"/>
        <w:numPr>
          <w:ilvl w:val="0"/>
          <w:numId w:val="1"/>
        </w:numPr>
        <w:tabs>
          <w:tab w:pos="1184" w:val="left" w:leader="none"/>
        </w:tabs>
        <w:spacing w:line="364" w:lineRule="auto" w:before="0" w:after="0"/>
        <w:ind w:left="1183" w:right="145" w:hanging="336"/>
        <w:jc w:val="both"/>
        <w:rPr>
          <w:sz w:val="22"/>
        </w:rPr>
      </w:pPr>
      <w:r>
        <w:rPr>
          <w:b/>
          <w:sz w:val="22"/>
        </w:rPr>
        <w:t>TO DECIDE </w:t>
      </w:r>
      <w:r>
        <w:rPr>
          <w:sz w:val="22"/>
        </w:rPr>
        <w:t>to keep the Headquarters of the Committee in Dar-es-Salaam and to include Zambia, Malawi and Somalia in the membership of the Committee;</w:t>
      </w:r>
    </w:p>
    <w:p>
      <w:pPr>
        <w:pStyle w:val="BodyText"/>
        <w:spacing w:before="7"/>
        <w:rPr>
          <w:sz w:val="34"/>
        </w:rPr>
      </w:pPr>
    </w:p>
    <w:p>
      <w:pPr>
        <w:pStyle w:val="ListParagraph"/>
        <w:numPr>
          <w:ilvl w:val="0"/>
          <w:numId w:val="1"/>
        </w:numPr>
        <w:tabs>
          <w:tab w:pos="1184" w:val="left" w:leader="none"/>
        </w:tabs>
        <w:spacing w:line="369" w:lineRule="auto" w:before="0" w:after="0"/>
        <w:ind w:left="1183" w:right="159" w:hanging="336"/>
        <w:jc w:val="both"/>
        <w:rPr>
          <w:sz w:val="22"/>
        </w:rPr>
      </w:pPr>
      <w:r>
        <w:rPr>
          <w:b/>
          <w:sz w:val="22"/>
        </w:rPr>
        <w:t>TO INVITE </w:t>
      </w:r>
      <w:r>
        <w:rPr>
          <w:sz w:val="22"/>
        </w:rPr>
        <w:t>the Committee to make a fair distribution of the freedom fighters in various sections of any front an in the border countries, the purpose of such distribution being to avoid a massive concentration of the freedom fighters at the headquarters</w:t>
      </w:r>
      <w:r>
        <w:rPr>
          <w:spacing w:val="40"/>
          <w:sz w:val="22"/>
        </w:rPr>
        <w:t> </w:t>
      </w:r>
      <w:r>
        <w:rPr>
          <w:sz w:val="22"/>
        </w:rPr>
        <w:t>of</w:t>
      </w:r>
      <w:r>
        <w:rPr>
          <w:spacing w:val="40"/>
          <w:sz w:val="22"/>
        </w:rPr>
        <w:t> </w:t>
      </w:r>
      <w:r>
        <w:rPr>
          <w:sz w:val="22"/>
        </w:rPr>
        <w:t>the</w:t>
      </w:r>
      <w:r>
        <w:rPr>
          <w:spacing w:val="40"/>
          <w:sz w:val="22"/>
        </w:rPr>
        <w:t> </w:t>
      </w:r>
      <w:r>
        <w:rPr>
          <w:sz w:val="22"/>
        </w:rPr>
        <w:t>Committee,</w:t>
      </w:r>
      <w:r>
        <w:rPr>
          <w:spacing w:val="40"/>
          <w:sz w:val="22"/>
        </w:rPr>
        <w:t> </w:t>
      </w:r>
      <w:r>
        <w:rPr>
          <w:sz w:val="22"/>
        </w:rPr>
        <w:t>which</w:t>
      </w:r>
      <w:r>
        <w:rPr>
          <w:spacing w:val="40"/>
          <w:sz w:val="22"/>
        </w:rPr>
        <w:t> </w:t>
      </w:r>
      <w:r>
        <w:rPr>
          <w:sz w:val="22"/>
        </w:rPr>
        <w:t>can</w:t>
      </w:r>
      <w:r>
        <w:rPr>
          <w:spacing w:val="40"/>
          <w:sz w:val="22"/>
        </w:rPr>
        <w:t> </w:t>
      </w:r>
      <w:r>
        <w:rPr>
          <w:sz w:val="22"/>
        </w:rPr>
        <w:t>prejudice</w:t>
      </w:r>
      <w:r>
        <w:rPr>
          <w:spacing w:val="40"/>
          <w:sz w:val="22"/>
        </w:rPr>
        <w:t> </w:t>
      </w:r>
      <w:r>
        <w:rPr>
          <w:sz w:val="22"/>
        </w:rPr>
        <w:t>the</w:t>
      </w:r>
      <w:r>
        <w:rPr>
          <w:spacing w:val="40"/>
          <w:sz w:val="22"/>
        </w:rPr>
        <w:t> </w:t>
      </w:r>
      <w:r>
        <w:rPr>
          <w:sz w:val="22"/>
        </w:rPr>
        <w:t>host</w:t>
      </w:r>
      <w:r>
        <w:rPr>
          <w:spacing w:val="40"/>
          <w:sz w:val="22"/>
        </w:rPr>
        <w:t> </w:t>
      </w:r>
      <w:r>
        <w:rPr>
          <w:sz w:val="22"/>
        </w:rPr>
        <w:t>country</w:t>
      </w:r>
      <w:r>
        <w:rPr>
          <w:spacing w:val="40"/>
          <w:sz w:val="22"/>
        </w:rPr>
        <w:t> </w:t>
      </w:r>
      <w:r>
        <w:rPr>
          <w:sz w:val="22"/>
        </w:rPr>
        <w:t>and</w:t>
      </w:r>
      <w:r>
        <w:rPr>
          <w:spacing w:val="40"/>
          <w:sz w:val="22"/>
        </w:rPr>
        <w:t> </w:t>
      </w:r>
      <w:r>
        <w:rPr>
          <w:sz w:val="22"/>
        </w:rPr>
        <w:t>the cause of the liberation of the continent;</w:t>
      </w:r>
    </w:p>
    <w:p>
      <w:pPr>
        <w:pStyle w:val="BodyText"/>
        <w:spacing w:before="5"/>
        <w:rPr>
          <w:sz w:val="33"/>
        </w:rPr>
      </w:pPr>
    </w:p>
    <w:p>
      <w:pPr>
        <w:pStyle w:val="ListParagraph"/>
        <w:numPr>
          <w:ilvl w:val="0"/>
          <w:numId w:val="1"/>
        </w:numPr>
        <w:tabs>
          <w:tab w:pos="1184" w:val="left" w:leader="none"/>
        </w:tabs>
        <w:spacing w:line="372" w:lineRule="auto" w:before="0" w:after="0"/>
        <w:ind w:left="1183" w:right="152"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pay</w:t>
      </w:r>
      <w:r>
        <w:rPr>
          <w:spacing w:val="40"/>
          <w:sz w:val="22"/>
        </w:rPr>
        <w:t> </w:t>
      </w:r>
      <w:r>
        <w:rPr>
          <w:sz w:val="22"/>
        </w:rPr>
        <w:t>particular</w:t>
      </w:r>
      <w:r>
        <w:rPr>
          <w:spacing w:val="40"/>
          <w:sz w:val="22"/>
        </w:rPr>
        <w:t> </w:t>
      </w:r>
      <w:r>
        <w:rPr>
          <w:sz w:val="22"/>
        </w:rPr>
        <w:t>attention</w:t>
      </w:r>
      <w:r>
        <w:rPr>
          <w:spacing w:val="40"/>
          <w:sz w:val="22"/>
        </w:rPr>
        <w:t> </w:t>
      </w:r>
      <w:r>
        <w:rPr>
          <w:sz w:val="22"/>
        </w:rPr>
        <w:t>to the execution of this resolution and make regular reports to the Council and the Assembly of Heads of State and Government.</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724" w:right="170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FIFTH ORDINARY SESSION OF THE COUNCIL OF MINISTERS HELD IN ACCRA, GHANA FROM 14 TO 21 OCTOBER 1965</dc:title>
  <dcterms:created xsi:type="dcterms:W3CDTF">2023-06-06T12:54:57Z</dcterms:created>
  <dcterms:modified xsi:type="dcterms:W3CDTF">2023-06-06T12:54:57Z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