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3"/>
        </w:rPr>
        <w:t> </w:t>
      </w:r>
      <w:r>
        <w:rPr/>
        <w:t>71</w:t>
      </w:r>
      <w:r>
        <w:rPr>
          <w:spacing w:val="14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FINANCING OF THE</w:t>
      </w:r>
      <w:r>
        <w:rPr>
          <w:u w:val="none"/>
        </w:rPr>
        <w:t> </w:t>
      </w:r>
      <w:r>
        <w:rPr>
          <w:u w:val="single"/>
        </w:rPr>
        <w:t>SOUTH WEST AFRICA CASE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54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70" w:firstLine="676"/>
        <w:jc w:val="both"/>
      </w:pPr>
      <w:r>
        <w:rPr>
          <w:b/>
          <w:u w:val="single"/>
        </w:rPr>
        <w:t>Recalling</w:t>
      </w:r>
      <w:r>
        <w:rPr>
          <w:b/>
          <w:spacing w:val="23"/>
        </w:rPr>
        <w:t> </w:t>
      </w:r>
      <w:r>
        <w:rPr/>
        <w:t>all previous resolutions of both the Council of Ministers and the Assembly</w:t>
      </w:r>
      <w:r>
        <w:rPr>
          <w:spacing w:val="80"/>
        </w:rPr>
        <w:t> </w:t>
      </w:r>
      <w:r>
        <w:rPr/>
        <w:t>of</w:t>
      </w:r>
      <w:r>
        <w:rPr>
          <w:spacing w:val="30"/>
        </w:rPr>
        <w:t> </w:t>
      </w:r>
      <w:r>
        <w:rPr/>
        <w:t>Heads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State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Government,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particular</w:t>
      </w:r>
      <w:r>
        <w:rPr>
          <w:spacing w:val="31"/>
        </w:rPr>
        <w:t> </w:t>
      </w:r>
      <w:r>
        <w:rPr/>
        <w:t>resolution</w:t>
      </w:r>
      <w:r>
        <w:rPr>
          <w:spacing w:val="26"/>
        </w:rPr>
        <w:t> </w:t>
      </w:r>
      <w:r>
        <w:rPr/>
        <w:t>CM/Res.</w:t>
      </w:r>
      <w:r>
        <w:rPr>
          <w:spacing w:val="27"/>
        </w:rPr>
        <w:t> </w:t>
      </w:r>
      <w:r>
        <w:rPr/>
        <w:t>58</w:t>
      </w:r>
      <w:r>
        <w:rPr>
          <w:spacing w:val="27"/>
        </w:rPr>
        <w:t> </w:t>
      </w:r>
      <w:r>
        <w:rPr/>
        <w:t>(IV)</w:t>
      </w:r>
      <w:r>
        <w:rPr>
          <w:spacing w:val="27"/>
        </w:rPr>
        <w:t> </w:t>
      </w:r>
      <w:r>
        <w:rPr/>
        <w:t>passed</w:t>
      </w:r>
      <w:r>
        <w:rPr>
          <w:spacing w:val="27"/>
        </w:rPr>
        <w:t> </w:t>
      </w:r>
      <w:r>
        <w:rPr/>
        <w:t>by the Council in its Fourth Ordinary Session,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56" w:firstLine="676"/>
        <w:jc w:val="both"/>
      </w:pPr>
      <w:r>
        <w:rPr>
          <w:b/>
          <w:u w:val="single"/>
        </w:rPr>
        <w:t>Noting with satisfaction</w:t>
      </w:r>
      <w:r>
        <w:rPr>
          <w:b/>
        </w:rPr>
        <w:t> </w:t>
      </w:r>
      <w:r>
        <w:rPr/>
        <w:t>the progress made by the two Member States, Ethiopia and Liberia,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whose</w:t>
      </w:r>
      <w:r>
        <w:rPr>
          <w:spacing w:val="40"/>
        </w:rPr>
        <w:t> </w:t>
      </w:r>
      <w:r>
        <w:rPr/>
        <w:t>name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Case</w:t>
      </w:r>
      <w:r>
        <w:rPr>
          <w:spacing w:val="40"/>
        </w:rPr>
        <w:t> </w:t>
      </w:r>
      <w:r>
        <w:rPr/>
        <w:t>regarding</w:t>
      </w:r>
      <w:r>
        <w:rPr>
          <w:spacing w:val="40"/>
        </w:rPr>
        <w:t> </w:t>
      </w:r>
      <w:r>
        <w:rPr/>
        <w:t>South</w:t>
      </w:r>
      <w:r>
        <w:rPr>
          <w:spacing w:val="40"/>
        </w:rPr>
        <w:t> </w:t>
      </w:r>
      <w:r>
        <w:rPr/>
        <w:t>West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now</w:t>
      </w:r>
      <w:r>
        <w:rPr>
          <w:spacing w:val="40"/>
        </w:rPr>
        <w:t> </w:t>
      </w:r>
      <w:r>
        <w:rPr/>
        <w:t>before</w:t>
      </w:r>
      <w:r>
        <w:rPr>
          <w:spacing w:val="40"/>
        </w:rPr>
        <w:t> </w:t>
      </w:r>
      <w:r>
        <w:rPr/>
        <w:t>the International Court of Justice,</w:t>
      </w:r>
    </w:p>
    <w:p>
      <w:pPr>
        <w:pStyle w:val="BodyText"/>
        <w:rPr>
          <w:sz w:val="33"/>
        </w:rPr>
      </w:pPr>
    </w:p>
    <w:p>
      <w:pPr>
        <w:spacing w:before="0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Deeply</w:t>
      </w:r>
      <w:r>
        <w:rPr>
          <w:b/>
          <w:spacing w:val="5"/>
          <w:sz w:val="22"/>
          <w:u w:val="single"/>
        </w:rPr>
        <w:t> </w:t>
      </w:r>
      <w:r>
        <w:rPr>
          <w:b/>
          <w:sz w:val="22"/>
          <w:u w:val="single"/>
        </w:rPr>
        <w:t>conscious</w:t>
      </w:r>
      <w:r>
        <w:rPr>
          <w:b/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its</w:t>
      </w:r>
      <w:r>
        <w:rPr>
          <w:spacing w:val="7"/>
          <w:sz w:val="22"/>
        </w:rPr>
        <w:t> </w:t>
      </w:r>
      <w:r>
        <w:rPr>
          <w:sz w:val="22"/>
        </w:rPr>
        <w:t>desire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bring</w:t>
      </w:r>
      <w:r>
        <w:rPr>
          <w:spacing w:val="7"/>
          <w:sz w:val="22"/>
        </w:rPr>
        <w:t> </w:t>
      </w:r>
      <w:r>
        <w:rPr>
          <w:sz w:val="22"/>
        </w:rPr>
        <w:t>about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early</w:t>
      </w:r>
      <w:r>
        <w:rPr>
          <w:spacing w:val="7"/>
          <w:sz w:val="22"/>
        </w:rPr>
        <w:t> </w:t>
      </w:r>
      <w:r>
        <w:rPr>
          <w:sz w:val="22"/>
        </w:rPr>
        <w:t>conclusion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Case,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6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Taking</w:t>
      </w:r>
      <w:r>
        <w:rPr>
          <w:b/>
          <w:spacing w:val="14"/>
          <w:sz w:val="22"/>
          <w:u w:val="single"/>
        </w:rPr>
        <w:t> </w:t>
      </w:r>
      <w:r>
        <w:rPr>
          <w:b/>
          <w:sz w:val="22"/>
          <w:u w:val="single"/>
        </w:rPr>
        <w:t>into</w:t>
      </w:r>
      <w:r>
        <w:rPr>
          <w:b/>
          <w:spacing w:val="15"/>
          <w:sz w:val="22"/>
          <w:u w:val="single"/>
        </w:rPr>
        <w:t> </w:t>
      </w:r>
      <w:r>
        <w:rPr>
          <w:b/>
          <w:sz w:val="22"/>
          <w:u w:val="single"/>
        </w:rPr>
        <w:t>account</w:t>
      </w:r>
      <w:r>
        <w:rPr>
          <w:b/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fact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Court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likely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give</w:t>
      </w:r>
      <w:r>
        <w:rPr>
          <w:spacing w:val="10"/>
          <w:sz w:val="22"/>
        </w:rPr>
        <w:t> </w:t>
      </w:r>
      <w:r>
        <w:rPr>
          <w:sz w:val="22"/>
        </w:rPr>
        <w:t>final</w:t>
      </w:r>
      <w:r>
        <w:rPr>
          <w:spacing w:val="9"/>
          <w:sz w:val="22"/>
        </w:rPr>
        <w:t> </w:t>
      </w:r>
      <w:r>
        <w:rPr>
          <w:sz w:val="22"/>
        </w:rPr>
        <w:t>judgment</w:t>
      </w:r>
      <w:r>
        <w:rPr>
          <w:spacing w:val="10"/>
          <w:sz w:val="22"/>
        </w:rPr>
        <w:t> </w:t>
      </w:r>
      <w:r>
        <w:rPr>
          <w:sz w:val="22"/>
        </w:rPr>
        <w:t>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pacing w:val="-4"/>
          <w:sz w:val="22"/>
        </w:rPr>
        <w:t>case</w:t>
      </w:r>
    </w:p>
    <w:p>
      <w:pPr>
        <w:pStyle w:val="BodyText"/>
        <w:spacing w:before="136"/>
        <w:ind w:left="171"/>
      </w:pPr>
      <w:r>
        <w:rPr>
          <w:spacing w:val="-2"/>
        </w:rPr>
        <w:t>shortly,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6"/>
        <w:ind w:left="848"/>
      </w:pPr>
      <w:r>
        <w:rPr>
          <w:b/>
        </w:rPr>
        <w:t>APPEALS</w:t>
      </w:r>
      <w:r>
        <w:rPr>
          <w:b/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Member</w:t>
      </w:r>
      <w:r>
        <w:rPr>
          <w:spacing w:val="10"/>
        </w:rPr>
        <w:t> </w:t>
      </w:r>
      <w:r>
        <w:rPr/>
        <w:t>States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pay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soon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possible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Permanent</w:t>
      </w:r>
      <w:r>
        <w:rPr>
          <w:spacing w:val="8"/>
        </w:rPr>
        <w:t> </w:t>
      </w:r>
      <w:r>
        <w:rPr>
          <w:spacing w:val="-2"/>
        </w:rPr>
        <w:t>Secretariat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868" w:right="2584" w:firstLine="446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2023-06-06T12:54:59Z</dcterms:created>
  <dcterms:modified xsi:type="dcterms:W3CDTF">2023-06-06T12:54:59Z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