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3"/>
        </w:rPr>
        <w:t> </w:t>
      </w:r>
      <w:r>
        <w:rPr/>
        <w:t>83</w:t>
      </w:r>
      <w:r>
        <w:rPr>
          <w:spacing w:val="14"/>
        </w:rPr>
        <w:t> </w:t>
      </w:r>
      <w:r>
        <w:rPr>
          <w:spacing w:val="-2"/>
        </w:rPr>
        <w:t>(VII)</w:t>
      </w:r>
    </w:p>
    <w:p>
      <w:pPr>
        <w:pStyle w:val="BodyText"/>
        <w:spacing w:before="10"/>
        <w:rPr>
          <w:sz w:val="26"/>
        </w:rPr>
      </w:pPr>
    </w:p>
    <w:p>
      <w:pPr>
        <w:pStyle w:val="Title"/>
        <w:spacing w:line="369" w:lineRule="auto"/>
        <w:rPr>
          <w:u w:val="none"/>
        </w:rPr>
      </w:pPr>
      <w:r>
        <w:rPr>
          <w:u w:val="single"/>
        </w:rPr>
        <w:t>RESOLUTION ON THE TERRITORIES UNDER</w:t>
      </w:r>
      <w:r>
        <w:rPr>
          <w:u w:val="none"/>
        </w:rPr>
        <w:t> </w:t>
      </w:r>
      <w:r>
        <w:rPr>
          <w:u w:val="single"/>
        </w:rPr>
        <w:t>PORTUGUESE DOMINATION</w:t>
      </w:r>
    </w:p>
    <w:p>
      <w:pPr>
        <w:pStyle w:val="BodyText"/>
        <w:spacing w:before="6"/>
        <w:rPr>
          <w:b/>
          <w:sz w:val="24"/>
        </w:rPr>
      </w:pPr>
    </w:p>
    <w:p>
      <w:pPr>
        <w:pStyle w:val="BodyText"/>
        <w:spacing w:line="374" w:lineRule="auto" w:before="96"/>
        <w:ind w:left="171" w:right="152"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Seventh Ordinary Session in Addis Ababa,</w:t>
      </w:r>
      <w:r>
        <w:rPr>
          <w:spacing w:val="80"/>
          <w:w w:val="150"/>
        </w:rPr>
        <w:t> </w:t>
      </w:r>
      <w:r>
        <w:rPr/>
        <w:t>from 31 October to 4 November 1966,</w:t>
      </w:r>
    </w:p>
    <w:p>
      <w:pPr>
        <w:pStyle w:val="BodyText"/>
        <w:spacing w:before="2"/>
        <w:rPr>
          <w:sz w:val="33"/>
        </w:rPr>
      </w:pPr>
    </w:p>
    <w:p>
      <w:pPr>
        <w:spacing w:line="369" w:lineRule="auto" w:before="0"/>
        <w:ind w:left="171" w:right="153" w:firstLine="676"/>
        <w:jc w:val="both"/>
        <w:rPr>
          <w:sz w:val="22"/>
        </w:rPr>
      </w:pPr>
      <w:r>
        <w:rPr>
          <w:b/>
          <w:sz w:val="22"/>
          <w:u w:val="single"/>
        </w:rPr>
        <w:t>Recalling and reaffirming</w:t>
      </w:r>
      <w:r>
        <w:rPr>
          <w:b/>
          <w:spacing w:val="40"/>
          <w:sz w:val="22"/>
        </w:rPr>
        <w:t> </w:t>
      </w:r>
      <w:r>
        <w:rPr>
          <w:sz w:val="22"/>
        </w:rPr>
        <w:t>resolution AHG/Res. 6(I), AHG/Res. 35 b (II) and</w:t>
      </w:r>
      <w:r>
        <w:rPr>
          <w:spacing w:val="40"/>
          <w:sz w:val="22"/>
        </w:rPr>
        <w:t> </w:t>
      </w:r>
      <w:r>
        <w:rPr>
          <w:sz w:val="22"/>
        </w:rPr>
        <w:t>CM/Res. 48 (IV),</w:t>
      </w:r>
    </w:p>
    <w:p>
      <w:pPr>
        <w:pStyle w:val="BodyText"/>
        <w:spacing w:before="8"/>
        <w:rPr>
          <w:sz w:val="33"/>
        </w:rPr>
      </w:pPr>
    </w:p>
    <w:p>
      <w:pPr>
        <w:pStyle w:val="BodyText"/>
        <w:spacing w:line="369" w:lineRule="auto"/>
        <w:ind w:left="171" w:right="164" w:firstLine="676"/>
        <w:jc w:val="both"/>
      </w:pPr>
      <w:r>
        <w:rPr>
          <w:b/>
          <w:u w:val="single"/>
        </w:rPr>
        <w:t>Noting</w:t>
      </w:r>
      <w:r>
        <w:rPr>
          <w:b/>
        </w:rPr>
        <w:t> </w:t>
      </w:r>
      <w:r>
        <w:rPr/>
        <w:t>the reports of the Foreign Ministers of Liberia, Madagascar, Sierra Leone and Tunisia who were mandated by the Assembly of Heads of States and Government to pursue before the Security Council of the United Nations the matter of</w:t>
      </w:r>
      <w:r>
        <w:rPr>
          <w:spacing w:val="40"/>
        </w:rPr>
        <w:t> </w:t>
      </w:r>
      <w:r>
        <w:rPr/>
        <w:t>African Territories under Portuguese Administration,</w:t>
      </w:r>
    </w:p>
    <w:p>
      <w:pPr>
        <w:pStyle w:val="BodyText"/>
        <w:spacing w:before="6"/>
        <w:rPr>
          <w:sz w:val="33"/>
        </w:rPr>
      </w:pPr>
    </w:p>
    <w:p>
      <w:pPr>
        <w:pStyle w:val="BodyText"/>
        <w:spacing w:line="369" w:lineRule="auto"/>
        <w:ind w:left="171" w:right="145" w:firstLine="676"/>
        <w:jc w:val="both"/>
      </w:pPr>
      <w:r>
        <w:rPr>
          <w:b/>
          <w:u w:val="single"/>
        </w:rPr>
        <w:t>Noting</w:t>
      </w:r>
      <w:r>
        <w:rPr>
          <w:b/>
          <w:spacing w:val="40"/>
        </w:rPr>
        <w:t> </w:t>
      </w:r>
      <w:r>
        <w:rPr/>
        <w:t>further</w:t>
      </w:r>
      <w:r>
        <w:rPr>
          <w:spacing w:val="34"/>
        </w:rPr>
        <w:t> </w:t>
      </w:r>
      <w:r>
        <w:rPr/>
        <w:t>that</w:t>
      </w:r>
      <w:r>
        <w:rPr>
          <w:spacing w:val="33"/>
        </w:rPr>
        <w:t> </w:t>
      </w:r>
      <w:r>
        <w:rPr/>
        <w:t>the</w:t>
      </w:r>
      <w:r>
        <w:rPr>
          <w:spacing w:val="34"/>
        </w:rPr>
        <w:t> </w:t>
      </w:r>
      <w:r>
        <w:rPr/>
        <w:t>Government</w:t>
      </w:r>
      <w:r>
        <w:rPr>
          <w:spacing w:val="33"/>
        </w:rPr>
        <w:t> </w:t>
      </w:r>
      <w:r>
        <w:rPr/>
        <w:t>of</w:t>
      </w:r>
      <w:r>
        <w:rPr>
          <w:spacing w:val="33"/>
        </w:rPr>
        <w:t> </w:t>
      </w:r>
      <w:r>
        <w:rPr/>
        <w:t>Portugal</w:t>
      </w:r>
      <w:r>
        <w:rPr>
          <w:spacing w:val="33"/>
        </w:rPr>
        <w:t> </w:t>
      </w:r>
      <w:r>
        <w:rPr/>
        <w:t>continues</w:t>
      </w:r>
      <w:r>
        <w:rPr>
          <w:spacing w:val="33"/>
        </w:rPr>
        <w:t> </w:t>
      </w:r>
      <w:r>
        <w:rPr/>
        <w:t>to</w:t>
      </w:r>
      <w:r>
        <w:rPr>
          <w:spacing w:val="36"/>
        </w:rPr>
        <w:t> </w:t>
      </w:r>
      <w:r>
        <w:rPr/>
        <w:t>defy</w:t>
      </w:r>
      <w:r>
        <w:rPr>
          <w:spacing w:val="33"/>
        </w:rPr>
        <w:t> </w:t>
      </w:r>
      <w:r>
        <w:rPr/>
        <w:t>the</w:t>
      </w:r>
      <w:r>
        <w:rPr>
          <w:spacing w:val="34"/>
        </w:rPr>
        <w:t> </w:t>
      </w:r>
      <w:r>
        <w:rPr/>
        <w:t>resolutions</w:t>
      </w:r>
      <w:r>
        <w:rPr>
          <w:spacing w:val="34"/>
        </w:rPr>
        <w:t> </w:t>
      </w:r>
      <w:r>
        <w:rPr/>
        <w:t>of the United Nations Security Council and General Assembly calling for the recognition of the right of the peoples of the Territories under its domination to self-determination and independence, and continues to wage colonial wars,</w:t>
      </w:r>
    </w:p>
    <w:p>
      <w:pPr>
        <w:pStyle w:val="BodyText"/>
        <w:rPr>
          <w:sz w:val="34"/>
        </w:rPr>
      </w:pPr>
    </w:p>
    <w:p>
      <w:pPr>
        <w:pStyle w:val="BodyText"/>
        <w:spacing w:line="369" w:lineRule="auto"/>
        <w:ind w:left="171" w:right="169" w:firstLine="676"/>
        <w:jc w:val="both"/>
      </w:pPr>
      <w:r>
        <w:rPr>
          <w:b/>
          <w:u w:val="single"/>
        </w:rPr>
        <w:t>Considering</w:t>
      </w:r>
      <w:r>
        <w:rPr>
          <w:b/>
        </w:rPr>
        <w:t> </w:t>
      </w:r>
      <w:r>
        <w:rPr/>
        <w:t>that the continuance of Portuguese domination in African territories and the military operations against the peoples of these territories constitute a grave threat to the peace, which is aggravated by the explosive situation in South Africa,</w:t>
      </w:r>
    </w:p>
    <w:p>
      <w:pPr>
        <w:pStyle w:val="BodyText"/>
        <w:spacing w:before="7"/>
        <w:rPr>
          <w:sz w:val="33"/>
        </w:rPr>
      </w:pPr>
    </w:p>
    <w:p>
      <w:pPr>
        <w:pStyle w:val="BodyText"/>
        <w:spacing w:line="374" w:lineRule="auto"/>
        <w:ind w:left="171" w:right="164" w:firstLine="676"/>
        <w:jc w:val="both"/>
      </w:pPr>
      <w:r>
        <w:rPr>
          <w:b/>
        </w:rPr>
        <w:t>CALLS UPON </w:t>
      </w:r>
      <w:r>
        <w:rPr/>
        <w:t>all States to implement the provisions of resolution 218 (1966) of November 23, 1965 by the Security Council which reaffirms:</w:t>
      </w:r>
    </w:p>
    <w:p>
      <w:pPr>
        <w:pStyle w:val="BodyText"/>
        <w:spacing w:before="9"/>
        <w:rPr>
          <w:sz w:val="32"/>
        </w:rPr>
      </w:pPr>
    </w:p>
    <w:p>
      <w:pPr>
        <w:pStyle w:val="ListParagraph"/>
        <w:numPr>
          <w:ilvl w:val="0"/>
          <w:numId w:val="1"/>
        </w:numPr>
        <w:tabs>
          <w:tab w:pos="1524" w:val="left" w:leader="none"/>
          <w:tab w:pos="1525" w:val="left" w:leader="none"/>
        </w:tabs>
        <w:spacing w:line="369" w:lineRule="auto" w:before="0" w:after="0"/>
        <w:ind w:left="1524" w:right="163" w:hanging="677"/>
        <w:jc w:val="left"/>
        <w:rPr>
          <w:sz w:val="22"/>
        </w:rPr>
      </w:pPr>
      <w:r>
        <w:rPr>
          <w:sz w:val="22"/>
        </w:rPr>
        <w:t>The</w:t>
      </w:r>
      <w:r>
        <w:rPr>
          <w:spacing w:val="28"/>
          <w:sz w:val="22"/>
        </w:rPr>
        <w:t> </w:t>
      </w:r>
      <w:r>
        <w:rPr>
          <w:sz w:val="22"/>
        </w:rPr>
        <w:t>immediate</w:t>
      </w:r>
      <w:r>
        <w:rPr>
          <w:spacing w:val="28"/>
          <w:sz w:val="22"/>
        </w:rPr>
        <w:t> </w:t>
      </w:r>
      <w:r>
        <w:rPr>
          <w:sz w:val="22"/>
        </w:rPr>
        <w:t>recognition</w:t>
      </w:r>
      <w:r>
        <w:rPr>
          <w:spacing w:val="28"/>
          <w:sz w:val="22"/>
        </w:rPr>
        <w:t> </w:t>
      </w:r>
      <w:r>
        <w:rPr>
          <w:sz w:val="22"/>
        </w:rPr>
        <w:t>of</w:t>
      </w:r>
      <w:r>
        <w:rPr>
          <w:spacing w:val="28"/>
          <w:sz w:val="22"/>
        </w:rPr>
        <w:t> </w:t>
      </w:r>
      <w:r>
        <w:rPr>
          <w:sz w:val="22"/>
        </w:rPr>
        <w:t>the</w:t>
      </w:r>
      <w:r>
        <w:rPr>
          <w:spacing w:val="28"/>
          <w:sz w:val="22"/>
        </w:rPr>
        <w:t> </w:t>
      </w:r>
      <w:r>
        <w:rPr>
          <w:sz w:val="22"/>
        </w:rPr>
        <w:t>right</w:t>
      </w:r>
      <w:r>
        <w:rPr>
          <w:spacing w:val="28"/>
          <w:sz w:val="22"/>
        </w:rPr>
        <w:t> </w:t>
      </w:r>
      <w:r>
        <w:rPr>
          <w:sz w:val="22"/>
        </w:rPr>
        <w:t>of</w:t>
      </w:r>
      <w:r>
        <w:rPr>
          <w:spacing w:val="28"/>
          <w:sz w:val="22"/>
        </w:rPr>
        <w:t> </w:t>
      </w:r>
      <w:r>
        <w:rPr>
          <w:sz w:val="22"/>
        </w:rPr>
        <w:t>the</w:t>
      </w:r>
      <w:r>
        <w:rPr>
          <w:spacing w:val="28"/>
          <w:sz w:val="22"/>
        </w:rPr>
        <w:t> </w:t>
      </w:r>
      <w:r>
        <w:rPr>
          <w:sz w:val="22"/>
        </w:rPr>
        <w:t>peoples</w:t>
      </w:r>
      <w:r>
        <w:rPr>
          <w:spacing w:val="28"/>
          <w:sz w:val="22"/>
        </w:rPr>
        <w:t> </w:t>
      </w:r>
      <w:r>
        <w:rPr>
          <w:sz w:val="22"/>
        </w:rPr>
        <w:t>of</w:t>
      </w:r>
      <w:r>
        <w:rPr>
          <w:spacing w:val="28"/>
          <w:sz w:val="22"/>
        </w:rPr>
        <w:t> </w:t>
      </w:r>
      <w:r>
        <w:rPr>
          <w:sz w:val="22"/>
        </w:rPr>
        <w:t>the</w:t>
      </w:r>
      <w:r>
        <w:rPr>
          <w:spacing w:val="28"/>
          <w:sz w:val="22"/>
        </w:rPr>
        <w:t> </w:t>
      </w:r>
      <w:r>
        <w:rPr>
          <w:sz w:val="22"/>
        </w:rPr>
        <w:t>territories</w:t>
      </w:r>
      <w:r>
        <w:rPr>
          <w:spacing w:val="28"/>
          <w:sz w:val="22"/>
        </w:rPr>
        <w:t> </w:t>
      </w:r>
      <w:r>
        <w:rPr>
          <w:sz w:val="22"/>
        </w:rPr>
        <w:t>under its administration to self-determination and independence;</w:t>
      </w:r>
    </w:p>
    <w:p>
      <w:pPr>
        <w:pStyle w:val="BodyText"/>
        <w:spacing w:before="1"/>
        <w:rPr>
          <w:sz w:val="34"/>
        </w:rPr>
      </w:pPr>
    </w:p>
    <w:p>
      <w:pPr>
        <w:pStyle w:val="ListParagraph"/>
        <w:numPr>
          <w:ilvl w:val="0"/>
          <w:numId w:val="1"/>
        </w:numPr>
        <w:tabs>
          <w:tab w:pos="1524" w:val="left" w:leader="none"/>
          <w:tab w:pos="1525" w:val="left" w:leader="none"/>
        </w:tabs>
        <w:spacing w:line="369" w:lineRule="auto" w:before="0" w:after="0"/>
        <w:ind w:left="1524" w:right="157" w:hanging="677"/>
        <w:jc w:val="left"/>
        <w:rPr>
          <w:sz w:val="22"/>
        </w:rPr>
      </w:pPr>
      <w:r>
        <w:rPr>
          <w:sz w:val="22"/>
        </w:rPr>
        <w:t>The</w:t>
      </w:r>
      <w:r>
        <w:rPr>
          <w:spacing w:val="40"/>
          <w:sz w:val="22"/>
        </w:rPr>
        <w:t> </w:t>
      </w:r>
      <w:r>
        <w:rPr>
          <w:sz w:val="22"/>
        </w:rPr>
        <w:t>immediate</w:t>
      </w:r>
      <w:r>
        <w:rPr>
          <w:spacing w:val="40"/>
          <w:sz w:val="22"/>
        </w:rPr>
        <w:t> </w:t>
      </w:r>
      <w:r>
        <w:rPr>
          <w:sz w:val="22"/>
        </w:rPr>
        <w:t>cessation</w:t>
      </w:r>
      <w:r>
        <w:rPr>
          <w:spacing w:val="40"/>
          <w:sz w:val="22"/>
        </w:rPr>
        <w:t> </w:t>
      </w:r>
      <w:r>
        <w:rPr>
          <w:sz w:val="22"/>
        </w:rPr>
        <w:t>of</w:t>
      </w:r>
      <w:r>
        <w:rPr>
          <w:spacing w:val="40"/>
          <w:sz w:val="22"/>
        </w:rPr>
        <w:t> </w:t>
      </w:r>
      <w:r>
        <w:rPr>
          <w:sz w:val="22"/>
        </w:rPr>
        <w:t>all</w:t>
      </w:r>
      <w:r>
        <w:rPr>
          <w:spacing w:val="40"/>
          <w:sz w:val="22"/>
        </w:rPr>
        <w:t> </w:t>
      </w:r>
      <w:r>
        <w:rPr>
          <w:sz w:val="22"/>
        </w:rPr>
        <w:t>acts</w:t>
      </w:r>
      <w:r>
        <w:rPr>
          <w:spacing w:val="40"/>
          <w:sz w:val="22"/>
        </w:rPr>
        <w:t> </w:t>
      </w:r>
      <w:r>
        <w:rPr>
          <w:sz w:val="22"/>
        </w:rPr>
        <w:t>of</w:t>
      </w:r>
      <w:r>
        <w:rPr>
          <w:spacing w:val="40"/>
          <w:sz w:val="22"/>
        </w:rPr>
        <w:t> </w:t>
      </w:r>
      <w:r>
        <w:rPr>
          <w:sz w:val="22"/>
        </w:rPr>
        <w:t>repression</w:t>
      </w:r>
      <w:r>
        <w:rPr>
          <w:spacing w:val="40"/>
          <w:sz w:val="22"/>
        </w:rPr>
        <w:t> </w:t>
      </w:r>
      <w:r>
        <w:rPr>
          <w:sz w:val="22"/>
        </w:rPr>
        <w:t>and</w:t>
      </w:r>
      <w:r>
        <w:rPr>
          <w:spacing w:val="40"/>
          <w:sz w:val="22"/>
        </w:rPr>
        <w:t> </w:t>
      </w:r>
      <w:r>
        <w:rPr>
          <w:sz w:val="22"/>
        </w:rPr>
        <w:t>the</w:t>
      </w:r>
      <w:r>
        <w:rPr>
          <w:spacing w:val="40"/>
          <w:sz w:val="22"/>
        </w:rPr>
        <w:t> </w:t>
      </w:r>
      <w:r>
        <w:rPr>
          <w:sz w:val="22"/>
        </w:rPr>
        <w:t>withdrawal</w:t>
      </w:r>
      <w:r>
        <w:rPr>
          <w:spacing w:val="40"/>
          <w:sz w:val="22"/>
        </w:rPr>
        <w:t> </w:t>
      </w:r>
      <w:r>
        <w:rPr>
          <w:sz w:val="22"/>
        </w:rPr>
        <w:t>of</w:t>
      </w:r>
      <w:r>
        <w:rPr>
          <w:spacing w:val="40"/>
          <w:sz w:val="22"/>
        </w:rPr>
        <w:t> </w:t>
      </w:r>
      <w:r>
        <w:rPr>
          <w:sz w:val="22"/>
        </w:rPr>
        <w:t>all military and other forces at present employment for the purpose;</w:t>
      </w:r>
    </w:p>
    <w:p>
      <w:pPr>
        <w:pStyle w:val="BodyText"/>
        <w:spacing w:before="8"/>
        <w:rPr>
          <w:sz w:val="33"/>
        </w:rPr>
      </w:pPr>
    </w:p>
    <w:p>
      <w:pPr>
        <w:pStyle w:val="ListParagraph"/>
        <w:numPr>
          <w:ilvl w:val="0"/>
          <w:numId w:val="1"/>
        </w:numPr>
        <w:tabs>
          <w:tab w:pos="1524" w:val="left" w:leader="none"/>
          <w:tab w:pos="1525" w:val="left" w:leader="none"/>
        </w:tabs>
        <w:spacing w:line="369" w:lineRule="auto" w:before="0" w:after="0"/>
        <w:ind w:left="1524" w:right="174" w:hanging="677"/>
        <w:jc w:val="left"/>
        <w:rPr>
          <w:sz w:val="22"/>
        </w:rPr>
      </w:pPr>
      <w:r>
        <w:rPr>
          <w:sz w:val="22"/>
        </w:rPr>
        <w:t>The promulgation of an unconditional political amnesty and the establishment</w:t>
      </w:r>
      <w:r>
        <w:rPr>
          <w:spacing w:val="40"/>
          <w:sz w:val="22"/>
        </w:rPr>
        <w:t> </w:t>
      </w:r>
      <w:r>
        <w:rPr>
          <w:sz w:val="22"/>
        </w:rPr>
        <w:t>of conditions that will allow the free functioning of political parties;</w:t>
      </w:r>
    </w:p>
    <w:p>
      <w:pPr>
        <w:spacing w:after="0" w:line="369" w:lineRule="auto"/>
        <w:jc w:val="left"/>
        <w:rPr>
          <w:sz w:val="22"/>
        </w:rPr>
        <w:sectPr>
          <w:type w:val="continuous"/>
          <w:pgSz w:w="12240" w:h="15840"/>
          <w:pgMar w:top="620" w:bottom="280" w:left="1720" w:right="1720"/>
        </w:sectPr>
      </w:pPr>
    </w:p>
    <w:p>
      <w:pPr>
        <w:pStyle w:val="ListParagraph"/>
        <w:numPr>
          <w:ilvl w:val="0"/>
          <w:numId w:val="1"/>
        </w:numPr>
        <w:tabs>
          <w:tab w:pos="1525" w:val="left" w:leader="none"/>
        </w:tabs>
        <w:spacing w:line="369" w:lineRule="auto" w:before="5" w:after="0"/>
        <w:ind w:left="1524" w:right="145" w:hanging="677"/>
        <w:jc w:val="both"/>
        <w:rPr>
          <w:sz w:val="22"/>
        </w:rPr>
      </w:pPr>
      <w:r>
        <w:rPr>
          <w:sz w:val="22"/>
        </w:rPr>
        <w:t>Negotiation, on the basis of the recognition of the right of self-determination, with</w:t>
      </w:r>
      <w:r>
        <w:rPr>
          <w:spacing w:val="35"/>
          <w:sz w:val="22"/>
        </w:rPr>
        <w:t> </w:t>
      </w:r>
      <w:r>
        <w:rPr>
          <w:sz w:val="22"/>
        </w:rPr>
        <w:t>the</w:t>
      </w:r>
      <w:r>
        <w:rPr>
          <w:spacing w:val="35"/>
          <w:sz w:val="22"/>
        </w:rPr>
        <w:t> </w:t>
      </w:r>
      <w:r>
        <w:rPr>
          <w:sz w:val="22"/>
        </w:rPr>
        <w:t>authorized</w:t>
      </w:r>
      <w:r>
        <w:rPr>
          <w:spacing w:val="36"/>
          <w:sz w:val="22"/>
        </w:rPr>
        <w:t> </w:t>
      </w:r>
      <w:r>
        <w:rPr>
          <w:sz w:val="22"/>
        </w:rPr>
        <w:t>representatives</w:t>
      </w:r>
      <w:r>
        <w:rPr>
          <w:spacing w:val="35"/>
          <w:sz w:val="22"/>
        </w:rPr>
        <w:t> </w:t>
      </w:r>
      <w:r>
        <w:rPr>
          <w:sz w:val="22"/>
        </w:rPr>
        <w:t>of</w:t>
      </w:r>
      <w:r>
        <w:rPr>
          <w:spacing w:val="35"/>
          <w:sz w:val="22"/>
        </w:rPr>
        <w:t> </w:t>
      </w:r>
      <w:r>
        <w:rPr>
          <w:sz w:val="22"/>
        </w:rPr>
        <w:t>the</w:t>
      </w:r>
      <w:r>
        <w:rPr>
          <w:spacing w:val="36"/>
          <w:sz w:val="22"/>
        </w:rPr>
        <w:t> </w:t>
      </w:r>
      <w:r>
        <w:rPr>
          <w:sz w:val="22"/>
        </w:rPr>
        <w:t>political</w:t>
      </w:r>
      <w:r>
        <w:rPr>
          <w:spacing w:val="35"/>
          <w:sz w:val="22"/>
        </w:rPr>
        <w:t> </w:t>
      </w:r>
      <w:r>
        <w:rPr>
          <w:sz w:val="22"/>
        </w:rPr>
        <w:t>parties</w:t>
      </w:r>
      <w:r>
        <w:rPr>
          <w:spacing w:val="35"/>
          <w:sz w:val="22"/>
        </w:rPr>
        <w:t> </w:t>
      </w:r>
      <w:r>
        <w:rPr>
          <w:sz w:val="22"/>
        </w:rPr>
        <w:t>within</w:t>
      </w:r>
      <w:r>
        <w:rPr>
          <w:spacing w:val="35"/>
          <w:sz w:val="22"/>
        </w:rPr>
        <w:t> </w:t>
      </w:r>
      <w:r>
        <w:rPr>
          <w:sz w:val="22"/>
        </w:rPr>
        <w:t>and</w:t>
      </w:r>
      <w:r>
        <w:rPr>
          <w:spacing w:val="36"/>
          <w:sz w:val="22"/>
        </w:rPr>
        <w:t> </w:t>
      </w:r>
      <w:r>
        <w:rPr>
          <w:sz w:val="22"/>
        </w:rPr>
        <w:t>outside the</w:t>
      </w:r>
      <w:r>
        <w:rPr>
          <w:spacing w:val="40"/>
          <w:sz w:val="22"/>
        </w:rPr>
        <w:t> </w:t>
      </w:r>
      <w:r>
        <w:rPr>
          <w:sz w:val="22"/>
        </w:rPr>
        <w:t>Territories</w:t>
      </w:r>
      <w:r>
        <w:rPr>
          <w:spacing w:val="40"/>
          <w:sz w:val="22"/>
        </w:rPr>
        <w:t> </w:t>
      </w:r>
      <w:r>
        <w:rPr>
          <w:sz w:val="22"/>
        </w:rPr>
        <w:t>with</w:t>
      </w:r>
      <w:r>
        <w:rPr>
          <w:spacing w:val="40"/>
          <w:sz w:val="22"/>
        </w:rPr>
        <w:t> </w:t>
      </w:r>
      <w:r>
        <w:rPr>
          <w:sz w:val="22"/>
        </w:rPr>
        <w:t>a</w:t>
      </w:r>
      <w:r>
        <w:rPr>
          <w:spacing w:val="40"/>
          <w:sz w:val="22"/>
        </w:rPr>
        <w:t> </w:t>
      </w:r>
      <w:r>
        <w:rPr>
          <w:sz w:val="22"/>
        </w:rPr>
        <w:t>view</w:t>
      </w:r>
      <w:r>
        <w:rPr>
          <w:spacing w:val="40"/>
          <w:sz w:val="22"/>
        </w:rPr>
        <w:t> </w:t>
      </w:r>
      <w:r>
        <w:rPr>
          <w:sz w:val="22"/>
        </w:rPr>
        <w:t>to</w:t>
      </w:r>
      <w:r>
        <w:rPr>
          <w:spacing w:val="40"/>
          <w:sz w:val="22"/>
        </w:rPr>
        <w:t> </w:t>
      </w:r>
      <w:r>
        <w:rPr>
          <w:sz w:val="22"/>
        </w:rPr>
        <w:t>the</w:t>
      </w:r>
      <w:r>
        <w:rPr>
          <w:spacing w:val="40"/>
          <w:sz w:val="22"/>
        </w:rPr>
        <w:t> </w:t>
      </w:r>
      <w:r>
        <w:rPr>
          <w:sz w:val="22"/>
        </w:rPr>
        <w:t>transfer</w:t>
      </w:r>
      <w:r>
        <w:rPr>
          <w:spacing w:val="40"/>
          <w:sz w:val="22"/>
        </w:rPr>
        <w:t> </w:t>
      </w:r>
      <w:r>
        <w:rPr>
          <w:sz w:val="22"/>
        </w:rPr>
        <w:t>of</w:t>
      </w:r>
      <w:r>
        <w:rPr>
          <w:spacing w:val="40"/>
          <w:sz w:val="22"/>
        </w:rPr>
        <w:t> </w:t>
      </w:r>
      <w:r>
        <w:rPr>
          <w:sz w:val="22"/>
        </w:rPr>
        <w:t>power</w:t>
      </w:r>
      <w:r>
        <w:rPr>
          <w:spacing w:val="40"/>
          <w:sz w:val="22"/>
        </w:rPr>
        <w:t> </w:t>
      </w:r>
      <w:r>
        <w:rPr>
          <w:sz w:val="22"/>
        </w:rPr>
        <w:t>to</w:t>
      </w:r>
      <w:r>
        <w:rPr>
          <w:spacing w:val="40"/>
          <w:sz w:val="22"/>
        </w:rPr>
        <w:t> </w:t>
      </w:r>
      <w:r>
        <w:rPr>
          <w:sz w:val="22"/>
        </w:rPr>
        <w:t>political</w:t>
      </w:r>
      <w:r>
        <w:rPr>
          <w:spacing w:val="40"/>
          <w:sz w:val="22"/>
        </w:rPr>
        <w:t> </w:t>
      </w:r>
      <w:r>
        <w:rPr>
          <w:sz w:val="22"/>
        </w:rPr>
        <w:t>institutions freely elected and representative of the peoples, in accordance with General Assembly resolution 1514 (XV);</w:t>
      </w:r>
    </w:p>
    <w:p>
      <w:pPr>
        <w:pStyle w:val="BodyText"/>
        <w:spacing w:before="10"/>
        <w:rPr>
          <w:sz w:val="33"/>
        </w:rPr>
      </w:pPr>
    </w:p>
    <w:p>
      <w:pPr>
        <w:pStyle w:val="ListParagraph"/>
        <w:numPr>
          <w:ilvl w:val="0"/>
          <w:numId w:val="1"/>
        </w:numPr>
        <w:tabs>
          <w:tab w:pos="1525" w:val="left" w:leader="none"/>
        </w:tabs>
        <w:spacing w:line="369" w:lineRule="auto" w:before="0" w:after="0"/>
        <w:ind w:left="1524" w:right="158" w:hanging="677"/>
        <w:jc w:val="both"/>
        <w:rPr>
          <w:sz w:val="22"/>
        </w:rPr>
      </w:pPr>
      <w:r>
        <w:rPr>
          <w:sz w:val="22"/>
        </w:rPr>
        <w:t>The</w:t>
      </w:r>
      <w:r>
        <w:rPr>
          <w:spacing w:val="40"/>
          <w:sz w:val="22"/>
        </w:rPr>
        <w:t> </w:t>
      </w:r>
      <w:r>
        <w:rPr>
          <w:sz w:val="22"/>
        </w:rPr>
        <w:t>granting</w:t>
      </w:r>
      <w:r>
        <w:rPr>
          <w:spacing w:val="40"/>
          <w:sz w:val="22"/>
        </w:rPr>
        <w:t> </w:t>
      </w:r>
      <w:r>
        <w:rPr>
          <w:sz w:val="22"/>
        </w:rPr>
        <w:t>of</w:t>
      </w:r>
      <w:r>
        <w:rPr>
          <w:spacing w:val="40"/>
          <w:sz w:val="22"/>
        </w:rPr>
        <w:t> </w:t>
      </w:r>
      <w:r>
        <w:rPr>
          <w:sz w:val="22"/>
        </w:rPr>
        <w:t>independence</w:t>
      </w:r>
      <w:r>
        <w:rPr>
          <w:spacing w:val="40"/>
          <w:sz w:val="22"/>
        </w:rPr>
        <w:t> </w:t>
      </w:r>
      <w:r>
        <w:rPr>
          <w:sz w:val="22"/>
        </w:rPr>
        <w:t>immediately</w:t>
      </w:r>
      <w:r>
        <w:rPr>
          <w:spacing w:val="40"/>
          <w:sz w:val="22"/>
        </w:rPr>
        <w:t> </w:t>
      </w:r>
      <w:r>
        <w:rPr>
          <w:sz w:val="22"/>
        </w:rPr>
        <w:t>thereafter</w:t>
      </w:r>
      <w:r>
        <w:rPr>
          <w:spacing w:val="40"/>
          <w:sz w:val="22"/>
        </w:rPr>
        <w:t> </w:t>
      </w:r>
      <w:r>
        <w:rPr>
          <w:sz w:val="22"/>
        </w:rPr>
        <w:t>to</w:t>
      </w:r>
      <w:r>
        <w:rPr>
          <w:spacing w:val="40"/>
          <w:sz w:val="22"/>
        </w:rPr>
        <w:t> </w:t>
      </w:r>
      <w:r>
        <w:rPr>
          <w:sz w:val="22"/>
        </w:rPr>
        <w:t>all</w:t>
      </w:r>
      <w:r>
        <w:rPr>
          <w:spacing w:val="40"/>
          <w:sz w:val="22"/>
        </w:rPr>
        <w:t> </w:t>
      </w:r>
      <w:r>
        <w:rPr>
          <w:sz w:val="22"/>
        </w:rPr>
        <w:t>the</w:t>
      </w:r>
      <w:r>
        <w:rPr>
          <w:spacing w:val="40"/>
          <w:sz w:val="22"/>
        </w:rPr>
        <w:t> </w:t>
      </w:r>
      <w:r>
        <w:rPr>
          <w:sz w:val="22"/>
        </w:rPr>
        <w:t>Territories under its administration in accordance with the aspirations of the peoples;</w:t>
      </w:r>
    </w:p>
    <w:p>
      <w:pPr>
        <w:pStyle w:val="BodyText"/>
        <w:spacing w:before="7"/>
        <w:rPr>
          <w:sz w:val="33"/>
        </w:rPr>
      </w:pPr>
    </w:p>
    <w:p>
      <w:pPr>
        <w:pStyle w:val="BodyText"/>
        <w:spacing w:line="369" w:lineRule="auto" w:before="1"/>
        <w:ind w:left="171" w:right="163" w:firstLine="676"/>
        <w:jc w:val="both"/>
      </w:pPr>
      <w:r>
        <w:rPr>
          <w:b/>
        </w:rPr>
        <w:t>CONDEMNS </w:t>
      </w:r>
      <w:r>
        <w:rPr/>
        <w:t>the attitude of those States which are continuing to sell or deliver arms and</w:t>
      </w:r>
      <w:r>
        <w:rPr>
          <w:spacing w:val="31"/>
        </w:rPr>
        <w:t> </w:t>
      </w:r>
      <w:r>
        <w:rPr/>
        <w:t>military</w:t>
      </w:r>
      <w:r>
        <w:rPr>
          <w:spacing w:val="30"/>
        </w:rPr>
        <w:t> </w:t>
      </w:r>
      <w:r>
        <w:rPr/>
        <w:t>material,</w:t>
      </w:r>
      <w:r>
        <w:rPr>
          <w:spacing w:val="31"/>
        </w:rPr>
        <w:t> </w:t>
      </w:r>
      <w:r>
        <w:rPr/>
        <w:t>or</w:t>
      </w:r>
      <w:r>
        <w:rPr>
          <w:spacing w:val="31"/>
        </w:rPr>
        <w:t> </w:t>
      </w:r>
      <w:r>
        <w:rPr/>
        <w:t>the</w:t>
      </w:r>
      <w:r>
        <w:rPr>
          <w:spacing w:val="30"/>
        </w:rPr>
        <w:t> </w:t>
      </w:r>
      <w:r>
        <w:rPr/>
        <w:t>equipment</w:t>
      </w:r>
      <w:r>
        <w:rPr>
          <w:spacing w:val="30"/>
        </w:rPr>
        <w:t> </w:t>
      </w:r>
      <w:r>
        <w:rPr/>
        <w:t>and</w:t>
      </w:r>
      <w:r>
        <w:rPr>
          <w:spacing w:val="31"/>
        </w:rPr>
        <w:t> </w:t>
      </w:r>
      <w:r>
        <w:rPr/>
        <w:t>materials</w:t>
      </w:r>
      <w:r>
        <w:rPr>
          <w:spacing w:val="30"/>
        </w:rPr>
        <w:t> </w:t>
      </w:r>
      <w:r>
        <w:rPr/>
        <w:t>needed</w:t>
      </w:r>
      <w:r>
        <w:rPr>
          <w:spacing w:val="31"/>
        </w:rPr>
        <w:t> </w:t>
      </w:r>
      <w:r>
        <w:rPr/>
        <w:t>to</w:t>
      </w:r>
      <w:r>
        <w:rPr>
          <w:spacing w:val="31"/>
        </w:rPr>
        <w:t> </w:t>
      </w:r>
      <w:r>
        <w:rPr/>
        <w:t>produce</w:t>
      </w:r>
      <w:r>
        <w:rPr>
          <w:spacing w:val="30"/>
        </w:rPr>
        <w:t> </w:t>
      </w:r>
      <w:r>
        <w:rPr/>
        <w:t>and</w:t>
      </w:r>
      <w:r>
        <w:rPr>
          <w:spacing w:val="31"/>
        </w:rPr>
        <w:t> </w:t>
      </w:r>
      <w:r>
        <w:rPr/>
        <w:t>maintain</w:t>
      </w:r>
      <w:r>
        <w:rPr>
          <w:spacing w:val="30"/>
        </w:rPr>
        <w:t> </w:t>
      </w:r>
      <w:r>
        <w:rPr/>
        <w:t>arms and ammunition to Portugal;</w:t>
      </w:r>
    </w:p>
    <w:p>
      <w:pPr>
        <w:pStyle w:val="BodyText"/>
        <w:rPr>
          <w:sz w:val="34"/>
        </w:rPr>
      </w:pPr>
    </w:p>
    <w:p>
      <w:pPr>
        <w:pStyle w:val="BodyText"/>
        <w:spacing w:line="367" w:lineRule="auto"/>
        <w:ind w:left="171" w:right="162" w:firstLine="676"/>
        <w:jc w:val="both"/>
      </w:pPr>
      <w:r>
        <w:rPr>
          <w:b/>
        </w:rPr>
        <w:t>CALLS </w:t>
      </w:r>
      <w:r>
        <w:rPr/>
        <w:t>on all States to implement the provisions of resolution 2107 (XX) of 21 December 1965 by the General Assembly of the United Nations urging them to take the following action:</w:t>
      </w:r>
    </w:p>
    <w:p>
      <w:pPr>
        <w:pStyle w:val="BodyText"/>
        <w:spacing w:before="3"/>
        <w:rPr>
          <w:sz w:val="34"/>
        </w:rPr>
      </w:pPr>
    </w:p>
    <w:p>
      <w:pPr>
        <w:pStyle w:val="ListParagraph"/>
        <w:numPr>
          <w:ilvl w:val="0"/>
          <w:numId w:val="2"/>
        </w:numPr>
        <w:tabs>
          <w:tab w:pos="1501" w:val="left" w:leader="none"/>
        </w:tabs>
        <w:spacing w:line="369" w:lineRule="auto" w:before="0" w:after="0"/>
        <w:ind w:left="1500" w:right="160" w:hanging="663"/>
        <w:jc w:val="both"/>
        <w:rPr>
          <w:sz w:val="22"/>
        </w:rPr>
      </w:pPr>
      <w:r>
        <w:rPr>
          <w:sz w:val="22"/>
        </w:rPr>
        <w:t>To</w:t>
      </w:r>
      <w:r>
        <w:rPr>
          <w:spacing w:val="40"/>
          <w:sz w:val="22"/>
        </w:rPr>
        <w:t> </w:t>
      </w:r>
      <w:r>
        <w:rPr>
          <w:sz w:val="22"/>
        </w:rPr>
        <w:t>break</w:t>
      </w:r>
      <w:r>
        <w:rPr>
          <w:spacing w:val="40"/>
          <w:sz w:val="22"/>
        </w:rPr>
        <w:t> </w:t>
      </w:r>
      <w:r>
        <w:rPr>
          <w:sz w:val="22"/>
        </w:rPr>
        <w:t>off</w:t>
      </w:r>
      <w:r>
        <w:rPr>
          <w:spacing w:val="40"/>
          <w:sz w:val="22"/>
        </w:rPr>
        <w:t> </w:t>
      </w:r>
      <w:r>
        <w:rPr>
          <w:sz w:val="22"/>
        </w:rPr>
        <w:t>diplomatic</w:t>
      </w:r>
      <w:r>
        <w:rPr>
          <w:spacing w:val="40"/>
          <w:sz w:val="22"/>
        </w:rPr>
        <w:t> </w:t>
      </w:r>
      <w:r>
        <w:rPr>
          <w:sz w:val="22"/>
        </w:rPr>
        <w:t>and</w:t>
      </w:r>
      <w:r>
        <w:rPr>
          <w:spacing w:val="40"/>
          <w:sz w:val="22"/>
        </w:rPr>
        <w:t> </w:t>
      </w:r>
      <w:r>
        <w:rPr>
          <w:sz w:val="22"/>
        </w:rPr>
        <w:t>consular</w:t>
      </w:r>
      <w:r>
        <w:rPr>
          <w:spacing w:val="40"/>
          <w:sz w:val="22"/>
        </w:rPr>
        <w:t> </w:t>
      </w:r>
      <w:r>
        <w:rPr>
          <w:sz w:val="22"/>
        </w:rPr>
        <w:t>relations</w:t>
      </w:r>
      <w:r>
        <w:rPr>
          <w:spacing w:val="40"/>
          <w:sz w:val="22"/>
        </w:rPr>
        <w:t> </w:t>
      </w:r>
      <w:r>
        <w:rPr>
          <w:sz w:val="22"/>
        </w:rPr>
        <w:t>with</w:t>
      </w:r>
      <w:r>
        <w:rPr>
          <w:spacing w:val="40"/>
          <w:sz w:val="22"/>
        </w:rPr>
        <w:t> </w:t>
      </w:r>
      <w:r>
        <w:rPr>
          <w:sz w:val="22"/>
        </w:rPr>
        <w:t>the</w:t>
      </w:r>
      <w:r>
        <w:rPr>
          <w:spacing w:val="40"/>
          <w:sz w:val="22"/>
        </w:rPr>
        <w:t> </w:t>
      </w:r>
      <w:r>
        <w:rPr>
          <w:sz w:val="22"/>
        </w:rPr>
        <w:t>Government</w:t>
      </w:r>
      <w:r>
        <w:rPr>
          <w:spacing w:val="40"/>
          <w:sz w:val="22"/>
        </w:rPr>
        <w:t> </w:t>
      </w:r>
      <w:r>
        <w:rPr>
          <w:sz w:val="22"/>
        </w:rPr>
        <w:t>of Portugal or refrain from establishing such relations;</w:t>
      </w:r>
    </w:p>
    <w:p>
      <w:pPr>
        <w:pStyle w:val="BodyText"/>
        <w:spacing w:before="8"/>
        <w:rPr>
          <w:sz w:val="33"/>
        </w:rPr>
      </w:pPr>
    </w:p>
    <w:p>
      <w:pPr>
        <w:pStyle w:val="ListParagraph"/>
        <w:numPr>
          <w:ilvl w:val="0"/>
          <w:numId w:val="2"/>
        </w:numPr>
        <w:tabs>
          <w:tab w:pos="1501" w:val="left" w:leader="none"/>
        </w:tabs>
        <w:spacing w:line="369" w:lineRule="auto" w:before="0" w:after="0"/>
        <w:ind w:left="1500" w:right="168" w:hanging="663"/>
        <w:jc w:val="both"/>
        <w:rPr>
          <w:sz w:val="22"/>
        </w:rPr>
      </w:pPr>
      <w:r>
        <w:rPr>
          <w:sz w:val="22"/>
        </w:rPr>
        <w:t>To close their ports to al vessels flying the Portuguese flag or in the service of </w:t>
      </w:r>
      <w:r>
        <w:rPr>
          <w:spacing w:val="-2"/>
          <w:sz w:val="22"/>
        </w:rPr>
        <w:t>Portugal;</w:t>
      </w:r>
    </w:p>
    <w:p>
      <w:pPr>
        <w:pStyle w:val="BodyText"/>
        <w:spacing w:before="7"/>
        <w:rPr>
          <w:sz w:val="33"/>
        </w:rPr>
      </w:pPr>
    </w:p>
    <w:p>
      <w:pPr>
        <w:pStyle w:val="ListParagraph"/>
        <w:numPr>
          <w:ilvl w:val="0"/>
          <w:numId w:val="2"/>
        </w:numPr>
        <w:tabs>
          <w:tab w:pos="1501" w:val="left" w:leader="none"/>
        </w:tabs>
        <w:spacing w:line="369" w:lineRule="auto" w:before="1" w:after="0"/>
        <w:ind w:left="1500" w:right="161" w:hanging="663"/>
        <w:jc w:val="both"/>
        <w:rPr>
          <w:sz w:val="22"/>
        </w:rPr>
      </w:pPr>
      <w:r>
        <w:rPr>
          <w:sz w:val="22"/>
        </w:rPr>
        <w:t>To prohibit their ships from entering any ports in Portugal and its colonial </w:t>
      </w:r>
      <w:r>
        <w:rPr>
          <w:spacing w:val="-2"/>
          <w:sz w:val="22"/>
        </w:rPr>
        <w:t>Territories;</w:t>
      </w:r>
    </w:p>
    <w:p>
      <w:pPr>
        <w:pStyle w:val="BodyText"/>
        <w:spacing w:before="7"/>
        <w:rPr>
          <w:sz w:val="33"/>
        </w:rPr>
      </w:pPr>
    </w:p>
    <w:p>
      <w:pPr>
        <w:pStyle w:val="ListParagraph"/>
        <w:numPr>
          <w:ilvl w:val="0"/>
          <w:numId w:val="2"/>
        </w:numPr>
        <w:tabs>
          <w:tab w:pos="1501" w:val="left" w:leader="none"/>
        </w:tabs>
        <w:spacing w:line="369" w:lineRule="auto" w:before="0" w:after="0"/>
        <w:ind w:left="1500" w:right="149" w:hanging="663"/>
        <w:jc w:val="both"/>
        <w:rPr>
          <w:sz w:val="22"/>
        </w:rPr>
      </w:pPr>
      <w:r>
        <w:rPr>
          <w:sz w:val="22"/>
        </w:rPr>
        <w:t>To refuse landing and transit facilities to all aircrafts belonging to or in the service of the Government of Portugal and to companies registers under the</w:t>
      </w:r>
      <w:r>
        <w:rPr>
          <w:spacing w:val="80"/>
          <w:sz w:val="22"/>
        </w:rPr>
        <w:t> </w:t>
      </w:r>
      <w:r>
        <w:rPr>
          <w:sz w:val="22"/>
        </w:rPr>
        <w:t>laws of Portugal;</w:t>
      </w:r>
    </w:p>
    <w:p>
      <w:pPr>
        <w:pStyle w:val="BodyText"/>
        <w:rPr>
          <w:sz w:val="34"/>
        </w:rPr>
      </w:pPr>
    </w:p>
    <w:p>
      <w:pPr>
        <w:pStyle w:val="ListParagraph"/>
        <w:numPr>
          <w:ilvl w:val="0"/>
          <w:numId w:val="2"/>
        </w:numPr>
        <w:tabs>
          <w:tab w:pos="1500" w:val="left" w:leader="none"/>
          <w:tab w:pos="1501" w:val="left" w:leader="none"/>
        </w:tabs>
        <w:spacing w:line="240" w:lineRule="auto" w:before="1" w:after="0"/>
        <w:ind w:left="1500" w:right="0" w:hanging="663"/>
        <w:jc w:val="left"/>
        <w:rPr>
          <w:sz w:val="22"/>
        </w:rPr>
      </w:pPr>
      <w:r>
        <w:rPr>
          <w:sz w:val="22"/>
        </w:rPr>
        <w:t>To</w:t>
      </w:r>
      <w:r>
        <w:rPr>
          <w:spacing w:val="8"/>
          <w:sz w:val="22"/>
        </w:rPr>
        <w:t> </w:t>
      </w:r>
      <w:r>
        <w:rPr>
          <w:sz w:val="22"/>
        </w:rPr>
        <w:t>boycott</w:t>
      </w:r>
      <w:r>
        <w:rPr>
          <w:spacing w:val="8"/>
          <w:sz w:val="22"/>
        </w:rPr>
        <w:t> </w:t>
      </w:r>
      <w:r>
        <w:rPr>
          <w:sz w:val="22"/>
        </w:rPr>
        <w:t>all</w:t>
      </w:r>
      <w:r>
        <w:rPr>
          <w:spacing w:val="8"/>
          <w:sz w:val="22"/>
        </w:rPr>
        <w:t> </w:t>
      </w:r>
      <w:r>
        <w:rPr>
          <w:sz w:val="22"/>
        </w:rPr>
        <w:t>trade</w:t>
      </w:r>
      <w:r>
        <w:rPr>
          <w:spacing w:val="8"/>
          <w:sz w:val="22"/>
        </w:rPr>
        <w:t> </w:t>
      </w:r>
      <w:r>
        <w:rPr>
          <w:sz w:val="22"/>
        </w:rPr>
        <w:t>with</w:t>
      </w:r>
      <w:r>
        <w:rPr>
          <w:spacing w:val="7"/>
          <w:sz w:val="22"/>
        </w:rPr>
        <w:t> </w:t>
      </w:r>
      <w:r>
        <w:rPr>
          <w:sz w:val="22"/>
        </w:rPr>
        <w:t>Portugal;</w:t>
      </w:r>
      <w:r>
        <w:rPr>
          <w:spacing w:val="8"/>
          <w:sz w:val="22"/>
        </w:rPr>
        <w:t> </w:t>
      </w:r>
      <w:r>
        <w:rPr>
          <w:spacing w:val="-5"/>
          <w:sz w:val="22"/>
        </w:rPr>
        <w:t>and</w:t>
      </w:r>
    </w:p>
    <w:p>
      <w:pPr>
        <w:pStyle w:val="BodyText"/>
        <w:rPr>
          <w:sz w:val="24"/>
        </w:rPr>
      </w:pPr>
    </w:p>
    <w:p>
      <w:pPr>
        <w:pStyle w:val="BodyText"/>
        <w:spacing w:before="2"/>
        <w:rPr>
          <w:sz w:val="21"/>
        </w:rPr>
      </w:pPr>
    </w:p>
    <w:p>
      <w:pPr>
        <w:pStyle w:val="ListParagraph"/>
        <w:numPr>
          <w:ilvl w:val="0"/>
          <w:numId w:val="2"/>
        </w:numPr>
        <w:tabs>
          <w:tab w:pos="1501" w:val="left" w:leader="none"/>
        </w:tabs>
        <w:spacing w:line="372" w:lineRule="auto" w:before="0" w:after="0"/>
        <w:ind w:left="1500" w:right="156" w:hanging="663"/>
        <w:jc w:val="both"/>
        <w:rPr>
          <w:sz w:val="22"/>
        </w:rPr>
      </w:pPr>
      <w:r>
        <w:rPr>
          <w:sz w:val="22"/>
        </w:rPr>
        <w:t>In co-ordination with the Organization of African</w:t>
      </w:r>
      <w:r>
        <w:rPr>
          <w:spacing w:val="80"/>
          <w:sz w:val="22"/>
        </w:rPr>
        <w:t> </w:t>
      </w:r>
      <w:r>
        <w:rPr>
          <w:sz w:val="22"/>
        </w:rPr>
        <w:t>Unity, to render the peoples of the Territories under Portuguese administration the moral and material</w:t>
      </w:r>
      <w:r>
        <w:rPr>
          <w:spacing w:val="40"/>
          <w:sz w:val="22"/>
        </w:rPr>
        <w:t> </w:t>
      </w:r>
      <w:r>
        <w:rPr>
          <w:sz w:val="22"/>
        </w:rPr>
        <w:t>support necessary for the restoration of their inalienable rights;</w:t>
      </w:r>
    </w:p>
    <w:p>
      <w:pPr>
        <w:spacing w:after="0" w:line="372" w:lineRule="auto"/>
        <w:jc w:val="both"/>
        <w:rPr>
          <w:sz w:val="22"/>
        </w:rPr>
        <w:sectPr>
          <w:headerReference w:type="default" r:id="rId5"/>
          <w:pgSz w:w="12240" w:h="15840"/>
          <w:pgMar w:header="701" w:footer="0" w:top="940" w:bottom="280" w:left="1720" w:right="1720"/>
        </w:sectPr>
      </w:pPr>
    </w:p>
    <w:p>
      <w:pPr>
        <w:pStyle w:val="BodyText"/>
        <w:spacing w:before="4"/>
        <w:rPr>
          <w:sz w:val="26"/>
        </w:rPr>
      </w:pPr>
    </w:p>
    <w:p>
      <w:pPr>
        <w:pStyle w:val="BodyText"/>
        <w:spacing w:line="369" w:lineRule="auto" w:before="95"/>
        <w:ind w:left="171" w:right="154" w:firstLine="667"/>
        <w:jc w:val="both"/>
      </w:pPr>
      <w:r>
        <w:rPr>
          <w:b/>
        </w:rPr>
        <w:t>CALLS ON </w:t>
      </w:r>
      <w:r>
        <w:rPr/>
        <w:t>the Foreign Minister of Liberia, Tunisia, Madagascar and Sierra Leone, with the assistance of the African Group at the United Nations, to persevere in their efforts towards stopping all assistance to the Government of Portugal.</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7.23999pt;margin-top:34.068241pt;width:112.3pt;height:14.5pt;mso-position-horizontal-relative:page;mso-position-vertical-relative:page;z-index:-15770112" type="#_x0000_t202" id="docshape1" filled="false" stroked="false">
          <v:textbox inset="0,0,0,0">
            <w:txbxContent>
              <w:p>
                <w:pPr>
                  <w:pStyle w:val="BodyText"/>
                  <w:spacing w:before="15"/>
                  <w:ind w:left="20"/>
                </w:pPr>
                <w:r>
                  <w:rPr/>
                  <w:t>CM/Res.</w:t>
                </w:r>
                <w:r>
                  <w:rPr>
                    <w:spacing w:val="18"/>
                  </w:rPr>
                  <w:t> </w:t>
                </w:r>
                <w:r>
                  <w:rPr/>
                  <w:t>77/Rev.1</w:t>
                </w:r>
                <w:r>
                  <w:rPr>
                    <w:spacing w:val="19"/>
                  </w:rPr>
                  <w:t> </w:t>
                </w:r>
                <w:r>
                  <w:rPr>
                    <w:spacing w:val="-4"/>
                  </w:rPr>
                  <w:t>(VII)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00" w:hanging="663"/>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2230" w:hanging="663"/>
      </w:pPr>
      <w:rPr>
        <w:rFonts w:hint="default"/>
        <w:lang w:val="en-US" w:eastAsia="en-US" w:bidi="ar-SA"/>
      </w:rPr>
    </w:lvl>
    <w:lvl w:ilvl="2">
      <w:start w:val="0"/>
      <w:numFmt w:val="bullet"/>
      <w:lvlText w:val="•"/>
      <w:lvlJc w:val="left"/>
      <w:pPr>
        <w:ind w:left="2960" w:hanging="663"/>
      </w:pPr>
      <w:rPr>
        <w:rFonts w:hint="default"/>
        <w:lang w:val="en-US" w:eastAsia="en-US" w:bidi="ar-SA"/>
      </w:rPr>
    </w:lvl>
    <w:lvl w:ilvl="3">
      <w:start w:val="0"/>
      <w:numFmt w:val="bullet"/>
      <w:lvlText w:val="•"/>
      <w:lvlJc w:val="left"/>
      <w:pPr>
        <w:ind w:left="3690" w:hanging="663"/>
      </w:pPr>
      <w:rPr>
        <w:rFonts w:hint="default"/>
        <w:lang w:val="en-US" w:eastAsia="en-US" w:bidi="ar-SA"/>
      </w:rPr>
    </w:lvl>
    <w:lvl w:ilvl="4">
      <w:start w:val="0"/>
      <w:numFmt w:val="bullet"/>
      <w:lvlText w:val="•"/>
      <w:lvlJc w:val="left"/>
      <w:pPr>
        <w:ind w:left="4420" w:hanging="663"/>
      </w:pPr>
      <w:rPr>
        <w:rFonts w:hint="default"/>
        <w:lang w:val="en-US" w:eastAsia="en-US" w:bidi="ar-SA"/>
      </w:rPr>
    </w:lvl>
    <w:lvl w:ilvl="5">
      <w:start w:val="0"/>
      <w:numFmt w:val="bullet"/>
      <w:lvlText w:val="•"/>
      <w:lvlJc w:val="left"/>
      <w:pPr>
        <w:ind w:left="5150" w:hanging="663"/>
      </w:pPr>
      <w:rPr>
        <w:rFonts w:hint="default"/>
        <w:lang w:val="en-US" w:eastAsia="en-US" w:bidi="ar-SA"/>
      </w:rPr>
    </w:lvl>
    <w:lvl w:ilvl="6">
      <w:start w:val="0"/>
      <w:numFmt w:val="bullet"/>
      <w:lvlText w:val="•"/>
      <w:lvlJc w:val="left"/>
      <w:pPr>
        <w:ind w:left="5880" w:hanging="663"/>
      </w:pPr>
      <w:rPr>
        <w:rFonts w:hint="default"/>
        <w:lang w:val="en-US" w:eastAsia="en-US" w:bidi="ar-SA"/>
      </w:rPr>
    </w:lvl>
    <w:lvl w:ilvl="7">
      <w:start w:val="0"/>
      <w:numFmt w:val="bullet"/>
      <w:lvlText w:val="•"/>
      <w:lvlJc w:val="left"/>
      <w:pPr>
        <w:ind w:left="6610" w:hanging="663"/>
      </w:pPr>
      <w:rPr>
        <w:rFonts w:hint="default"/>
        <w:lang w:val="en-US" w:eastAsia="en-US" w:bidi="ar-SA"/>
      </w:rPr>
    </w:lvl>
    <w:lvl w:ilvl="8">
      <w:start w:val="0"/>
      <w:numFmt w:val="bullet"/>
      <w:lvlText w:val="•"/>
      <w:lvlJc w:val="left"/>
      <w:pPr>
        <w:ind w:left="7340" w:hanging="663"/>
      </w:pPr>
      <w:rPr>
        <w:rFonts w:hint="default"/>
        <w:lang w:val="en-US" w:eastAsia="en-US" w:bidi="ar-SA"/>
      </w:rPr>
    </w:lvl>
  </w:abstractNum>
  <w:abstractNum w:abstractNumId="0">
    <w:multiLevelType w:val="hybridMultilevel"/>
    <w:lvl w:ilvl="0">
      <w:start w:val="1"/>
      <w:numFmt w:val="lowerLetter"/>
      <w:lvlText w:val="(%1)"/>
      <w:lvlJc w:val="left"/>
      <w:pPr>
        <w:ind w:left="1524" w:hanging="677"/>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2248" w:hanging="677"/>
      </w:pPr>
      <w:rPr>
        <w:rFonts w:hint="default"/>
        <w:lang w:val="en-US" w:eastAsia="en-US" w:bidi="ar-SA"/>
      </w:rPr>
    </w:lvl>
    <w:lvl w:ilvl="2">
      <w:start w:val="0"/>
      <w:numFmt w:val="bullet"/>
      <w:lvlText w:val="•"/>
      <w:lvlJc w:val="left"/>
      <w:pPr>
        <w:ind w:left="2976" w:hanging="677"/>
      </w:pPr>
      <w:rPr>
        <w:rFonts w:hint="default"/>
        <w:lang w:val="en-US" w:eastAsia="en-US" w:bidi="ar-SA"/>
      </w:rPr>
    </w:lvl>
    <w:lvl w:ilvl="3">
      <w:start w:val="0"/>
      <w:numFmt w:val="bullet"/>
      <w:lvlText w:val="•"/>
      <w:lvlJc w:val="left"/>
      <w:pPr>
        <w:ind w:left="3704" w:hanging="677"/>
      </w:pPr>
      <w:rPr>
        <w:rFonts w:hint="default"/>
        <w:lang w:val="en-US" w:eastAsia="en-US" w:bidi="ar-SA"/>
      </w:rPr>
    </w:lvl>
    <w:lvl w:ilvl="4">
      <w:start w:val="0"/>
      <w:numFmt w:val="bullet"/>
      <w:lvlText w:val="•"/>
      <w:lvlJc w:val="left"/>
      <w:pPr>
        <w:ind w:left="4432" w:hanging="677"/>
      </w:pPr>
      <w:rPr>
        <w:rFonts w:hint="default"/>
        <w:lang w:val="en-US" w:eastAsia="en-US" w:bidi="ar-SA"/>
      </w:rPr>
    </w:lvl>
    <w:lvl w:ilvl="5">
      <w:start w:val="0"/>
      <w:numFmt w:val="bullet"/>
      <w:lvlText w:val="•"/>
      <w:lvlJc w:val="left"/>
      <w:pPr>
        <w:ind w:left="5160" w:hanging="677"/>
      </w:pPr>
      <w:rPr>
        <w:rFonts w:hint="default"/>
        <w:lang w:val="en-US" w:eastAsia="en-US" w:bidi="ar-SA"/>
      </w:rPr>
    </w:lvl>
    <w:lvl w:ilvl="6">
      <w:start w:val="0"/>
      <w:numFmt w:val="bullet"/>
      <w:lvlText w:val="•"/>
      <w:lvlJc w:val="left"/>
      <w:pPr>
        <w:ind w:left="5888" w:hanging="677"/>
      </w:pPr>
      <w:rPr>
        <w:rFonts w:hint="default"/>
        <w:lang w:val="en-US" w:eastAsia="en-US" w:bidi="ar-SA"/>
      </w:rPr>
    </w:lvl>
    <w:lvl w:ilvl="7">
      <w:start w:val="0"/>
      <w:numFmt w:val="bullet"/>
      <w:lvlText w:val="•"/>
      <w:lvlJc w:val="left"/>
      <w:pPr>
        <w:ind w:left="6616" w:hanging="677"/>
      </w:pPr>
      <w:rPr>
        <w:rFonts w:hint="default"/>
        <w:lang w:val="en-US" w:eastAsia="en-US" w:bidi="ar-SA"/>
      </w:rPr>
    </w:lvl>
    <w:lvl w:ilvl="8">
      <w:start w:val="0"/>
      <w:numFmt w:val="bullet"/>
      <w:lvlText w:val="•"/>
      <w:lvlJc w:val="left"/>
      <w:pPr>
        <w:ind w:left="7344" w:hanging="6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840" w:right="550" w:hanging="87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00" w:hanging="66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SEVENTH ORDINARY SESSION OF THE COUNCIL OF MINISTERS HELD IN ADDIS ABABA, ETHIOPIA FROM 31 OCTOBER TO 4 NOVEMBER 1966</dc:title>
  <dcterms:created xsi:type="dcterms:W3CDTF">2023-06-06T12:55:29Z</dcterms:created>
  <dcterms:modified xsi:type="dcterms:W3CDTF">2023-06-06T12:55:29Z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