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3"/>
        </w:rPr>
        <w:t> </w:t>
      </w:r>
      <w:r>
        <w:rPr/>
        <w:t>86</w:t>
      </w:r>
      <w:r>
        <w:rPr>
          <w:spacing w:val="14"/>
        </w:rPr>
        <w:t> </w:t>
      </w:r>
      <w:r>
        <w:rPr>
          <w:spacing w:val="-2"/>
        </w:rPr>
        <w:t>(VII)</w:t>
      </w:r>
    </w:p>
    <w:p>
      <w:pPr>
        <w:pStyle w:val="BodyText"/>
        <w:spacing w:before="2"/>
        <w:rPr>
          <w:sz w:val="35"/>
        </w:rPr>
      </w:pPr>
    </w:p>
    <w:p>
      <w:pPr>
        <w:pStyle w:val="Title"/>
        <w:rPr>
          <w:u w:val="none"/>
        </w:rPr>
      </w:pPr>
      <w:r>
        <w:rPr>
          <w:u w:val="single"/>
        </w:rPr>
        <w:t>RESOLUTION</w:t>
      </w:r>
      <w:r>
        <w:rPr>
          <w:spacing w:val="12"/>
          <w:u w:val="single"/>
        </w:rPr>
        <w:t> </w:t>
      </w:r>
      <w:r>
        <w:rPr>
          <w:u w:val="single"/>
        </w:rPr>
        <w:t>ON</w:t>
      </w:r>
      <w:r>
        <w:rPr>
          <w:spacing w:val="12"/>
          <w:u w:val="single"/>
        </w:rPr>
        <w:t> </w:t>
      </w:r>
      <w:r>
        <w:rPr>
          <w:u w:val="single"/>
        </w:rPr>
        <w:t>APARTHEID</w:t>
      </w:r>
      <w:r>
        <w:rPr>
          <w:spacing w:val="13"/>
          <w:u w:val="single"/>
        </w:rPr>
        <w:t> </w:t>
      </w:r>
      <w:r>
        <w:rPr>
          <w:u w:val="single"/>
        </w:rPr>
        <w:t>AND</w:t>
      </w:r>
      <w:r>
        <w:rPr>
          <w:spacing w:val="12"/>
          <w:u w:val="single"/>
        </w:rPr>
        <w:t> </w:t>
      </w:r>
      <w:r>
        <w:rPr>
          <w:u w:val="single"/>
        </w:rPr>
        <w:t>RACIAL</w:t>
      </w:r>
      <w:r>
        <w:rPr>
          <w:spacing w:val="13"/>
          <w:u w:val="single"/>
        </w:rPr>
        <w:t> </w:t>
      </w:r>
      <w:r>
        <w:rPr>
          <w:spacing w:val="-2"/>
          <w:u w:val="single"/>
        </w:rPr>
        <w:t>DISCRIMINATION</w:t>
      </w:r>
    </w:p>
    <w:p>
      <w:pPr>
        <w:pStyle w:val="BodyText"/>
        <w:rPr>
          <w:b/>
          <w:sz w:val="20"/>
        </w:rPr>
      </w:pPr>
    </w:p>
    <w:p>
      <w:pPr>
        <w:pStyle w:val="BodyText"/>
        <w:spacing w:before="10"/>
        <w:rPr>
          <w:b/>
          <w:sz w:val="16"/>
        </w:rPr>
      </w:pPr>
    </w:p>
    <w:p>
      <w:pPr>
        <w:pStyle w:val="BodyText"/>
        <w:spacing w:line="364" w:lineRule="auto" w:before="96"/>
        <w:ind w:left="171" w:right="157" w:firstLine="676"/>
        <w:jc w:val="both"/>
      </w:pPr>
      <w:r>
        <w:rPr/>
        <w:t>The Council of Ministers, meeting in its Seventh Ordinary Session in Addis Ababa, from 31 October to 4 November 1966,</w:t>
      </w:r>
    </w:p>
    <w:p>
      <w:pPr>
        <w:pStyle w:val="BodyText"/>
        <w:spacing w:before="6"/>
        <w:rPr>
          <w:sz w:val="34"/>
        </w:rPr>
      </w:pPr>
    </w:p>
    <w:p>
      <w:pPr>
        <w:pStyle w:val="BodyText"/>
        <w:spacing w:line="369" w:lineRule="auto"/>
        <w:ind w:left="171" w:right="157" w:firstLine="676"/>
        <w:jc w:val="both"/>
      </w:pPr>
      <w:r>
        <w:rPr>
          <w:b/>
          <w:u w:val="single"/>
        </w:rPr>
        <w:t>Recalling </w:t>
      </w:r>
      <w:r>
        <w:rPr/>
        <w:t>all the previous pertinent resolutions of the Assembly of Heads of State and Government and the Council of Ministers, in particular resolutions AHG/Res. 6 (I), AHG/Res.34 (II) and CM/Res. 71 (VI), as well as United Nations General Assembly</w:t>
      </w:r>
      <w:r>
        <w:rPr>
          <w:spacing w:val="40"/>
        </w:rPr>
        <w:t> </w:t>
      </w:r>
      <w:r>
        <w:rPr/>
        <w:t>resolutions 1761 (XVII) of 6 November 1962 and 2054 (XX) of 15 December 1965, and</w:t>
      </w:r>
      <w:r>
        <w:rPr>
          <w:spacing w:val="80"/>
        </w:rPr>
        <w:t> </w:t>
      </w:r>
      <w:r>
        <w:rPr/>
        <w:t>United Nations Security Council resolutions S/5386, S/5471 of 7 August 1963, 4 December 1963 and 16 June 1964 respectively,</w:t>
      </w:r>
    </w:p>
    <w:p>
      <w:pPr>
        <w:pStyle w:val="BodyText"/>
        <w:spacing w:before="9"/>
        <w:rPr>
          <w:sz w:val="33"/>
        </w:rPr>
      </w:pPr>
    </w:p>
    <w:p>
      <w:pPr>
        <w:pStyle w:val="BodyText"/>
        <w:spacing w:line="367" w:lineRule="auto" w:before="1"/>
        <w:ind w:left="171" w:right="159" w:firstLine="676"/>
        <w:jc w:val="both"/>
      </w:pPr>
      <w:r>
        <w:rPr>
          <w:b/>
          <w:u w:val="single"/>
        </w:rPr>
        <w:t>Having heard</w:t>
      </w:r>
      <w:r>
        <w:rPr>
          <w:b/>
        </w:rPr>
        <w:t> </w:t>
      </w:r>
      <w:r>
        <w:rPr/>
        <w:t>the report of the Secretary of State of Tunisia on behalf of the four Foreign Minister who were requested to pursue the matter at the United Nations Security </w:t>
      </w:r>
      <w:r>
        <w:rPr>
          <w:spacing w:val="-2"/>
        </w:rPr>
        <w:t>Council,</w:t>
      </w:r>
    </w:p>
    <w:p>
      <w:pPr>
        <w:pStyle w:val="BodyText"/>
        <w:spacing w:before="2"/>
        <w:rPr>
          <w:sz w:val="34"/>
        </w:rPr>
      </w:pPr>
    </w:p>
    <w:p>
      <w:pPr>
        <w:pStyle w:val="BodyText"/>
        <w:spacing w:before="1"/>
        <w:ind w:left="848"/>
      </w:pPr>
      <w:r>
        <w:rPr>
          <w:b/>
          <w:u w:val="single"/>
        </w:rPr>
        <w:t>Taking</w:t>
      </w:r>
      <w:r>
        <w:rPr>
          <w:b/>
          <w:spacing w:val="9"/>
          <w:u w:val="single"/>
        </w:rPr>
        <w:t> </w:t>
      </w:r>
      <w:r>
        <w:rPr>
          <w:b/>
          <w:u w:val="single"/>
        </w:rPr>
        <w:t>note</w:t>
      </w:r>
      <w:r>
        <w:rPr>
          <w:b/>
          <w:spacing w:val="17"/>
        </w:rPr>
        <w:t> </w:t>
      </w:r>
      <w:r>
        <w:rPr/>
        <w:t>of</w:t>
      </w:r>
      <w:r>
        <w:rPr>
          <w:spacing w:val="8"/>
        </w:rPr>
        <w:t> </w:t>
      </w:r>
      <w:r>
        <w:rPr/>
        <w:t>the</w:t>
      </w:r>
      <w:r>
        <w:rPr>
          <w:spacing w:val="10"/>
        </w:rPr>
        <w:t> </w:t>
      </w:r>
      <w:r>
        <w:rPr/>
        <w:t>report</w:t>
      </w:r>
      <w:r>
        <w:rPr>
          <w:spacing w:val="9"/>
        </w:rPr>
        <w:t> </w:t>
      </w:r>
      <w:r>
        <w:rPr/>
        <w:t>of</w:t>
      </w:r>
      <w:r>
        <w:rPr>
          <w:spacing w:val="8"/>
        </w:rPr>
        <w:t> </w:t>
      </w:r>
      <w:r>
        <w:rPr/>
        <w:t>the</w:t>
      </w:r>
      <w:r>
        <w:rPr>
          <w:spacing w:val="10"/>
        </w:rPr>
        <w:t> </w:t>
      </w:r>
      <w:r>
        <w:rPr/>
        <w:t>Administrative</w:t>
      </w:r>
      <w:r>
        <w:rPr>
          <w:spacing w:val="9"/>
        </w:rPr>
        <w:t> </w:t>
      </w:r>
      <w:r>
        <w:rPr/>
        <w:t>Secretary-</w:t>
      </w:r>
      <w:r>
        <w:rPr>
          <w:spacing w:val="-2"/>
        </w:rPr>
        <w:t>General,</w:t>
      </w:r>
    </w:p>
    <w:p>
      <w:pPr>
        <w:pStyle w:val="BodyText"/>
        <w:rPr>
          <w:sz w:val="24"/>
        </w:rPr>
      </w:pPr>
    </w:p>
    <w:p>
      <w:pPr>
        <w:pStyle w:val="BodyText"/>
        <w:spacing w:before="7"/>
        <w:rPr>
          <w:sz w:val="21"/>
        </w:rPr>
      </w:pPr>
    </w:p>
    <w:p>
      <w:pPr>
        <w:pStyle w:val="BodyText"/>
        <w:spacing w:line="369" w:lineRule="auto"/>
        <w:ind w:left="171" w:right="148" w:firstLine="676"/>
        <w:jc w:val="both"/>
      </w:pPr>
      <w:r>
        <w:rPr>
          <w:b/>
          <w:u w:val="single"/>
        </w:rPr>
        <w:t>Gravely concerned</w:t>
      </w:r>
      <w:r>
        <w:rPr>
          <w:b/>
        </w:rPr>
        <w:t> </w:t>
      </w:r>
      <w:r>
        <w:rPr/>
        <w:t>that the situation in South Africa is deteriorating from day to day, and that the policies and actions of the South African Government, particularly in South West African</w:t>
      </w:r>
      <w:r>
        <w:rPr>
          <w:spacing w:val="40"/>
        </w:rPr>
        <w:t> </w:t>
      </w:r>
      <w:r>
        <w:rPr/>
        <w:t>and</w:t>
      </w:r>
      <w:r>
        <w:rPr>
          <w:spacing w:val="40"/>
        </w:rPr>
        <w:t> </w:t>
      </w:r>
      <w:r>
        <w:rPr/>
        <w:t>Southern</w:t>
      </w:r>
      <w:r>
        <w:rPr>
          <w:spacing w:val="40"/>
        </w:rPr>
        <w:t> </w:t>
      </w:r>
      <w:r>
        <w:rPr/>
        <w:t>Rhodesia,</w:t>
      </w:r>
      <w:r>
        <w:rPr>
          <w:spacing w:val="40"/>
        </w:rPr>
        <w:t> </w:t>
      </w:r>
      <w:r>
        <w:rPr/>
        <w:t>have</w:t>
      </w:r>
      <w:r>
        <w:rPr>
          <w:spacing w:val="40"/>
        </w:rPr>
        <w:t> </w:t>
      </w:r>
      <w:r>
        <w:rPr/>
        <w:t>seriously</w:t>
      </w:r>
      <w:r>
        <w:rPr>
          <w:spacing w:val="40"/>
        </w:rPr>
        <w:t> </w:t>
      </w:r>
      <w:r>
        <w:rPr/>
        <w:t>aggravated</w:t>
      </w:r>
      <w:r>
        <w:rPr>
          <w:spacing w:val="40"/>
        </w:rPr>
        <w:t> </w:t>
      </w:r>
      <w:r>
        <w:rPr/>
        <w:t>the</w:t>
      </w:r>
      <w:r>
        <w:rPr>
          <w:spacing w:val="40"/>
        </w:rPr>
        <w:t> </w:t>
      </w:r>
      <w:r>
        <w:rPr/>
        <w:t>explosive</w:t>
      </w:r>
      <w:r>
        <w:rPr>
          <w:spacing w:val="40"/>
        </w:rPr>
        <w:t> </w:t>
      </w:r>
      <w:r>
        <w:rPr/>
        <w:t>situation</w:t>
      </w:r>
      <w:r>
        <w:rPr>
          <w:spacing w:val="40"/>
        </w:rPr>
        <w:t> </w:t>
      </w:r>
      <w:r>
        <w:rPr/>
        <w:t>in</w:t>
      </w:r>
      <w:r>
        <w:rPr>
          <w:spacing w:val="40"/>
        </w:rPr>
        <w:t> </w:t>
      </w:r>
      <w:r>
        <w:rPr/>
        <w:t>the </w:t>
      </w:r>
      <w:r>
        <w:rPr>
          <w:spacing w:val="-2"/>
        </w:rPr>
        <w:t>region,</w:t>
      </w:r>
    </w:p>
    <w:p>
      <w:pPr>
        <w:pStyle w:val="BodyText"/>
        <w:spacing w:before="6"/>
        <w:rPr>
          <w:sz w:val="33"/>
        </w:rPr>
      </w:pPr>
    </w:p>
    <w:p>
      <w:pPr>
        <w:pStyle w:val="BodyText"/>
        <w:spacing w:line="369" w:lineRule="auto"/>
        <w:ind w:left="171" w:right="162" w:firstLine="676"/>
        <w:jc w:val="both"/>
      </w:pPr>
      <w:r>
        <w:rPr>
          <w:b/>
          <w:u w:val="single"/>
        </w:rPr>
        <w:t>Considering</w:t>
      </w:r>
      <w:r>
        <w:rPr>
          <w:b/>
          <w:spacing w:val="36"/>
        </w:rPr>
        <w:t> </w:t>
      </w:r>
      <w:r>
        <w:rPr/>
        <w:t>that</w:t>
      </w:r>
      <w:r>
        <w:rPr>
          <w:spacing w:val="26"/>
        </w:rPr>
        <w:t> </w:t>
      </w:r>
      <w:r>
        <w:rPr/>
        <w:t>the</w:t>
      </w:r>
      <w:r>
        <w:rPr>
          <w:spacing w:val="26"/>
        </w:rPr>
        <w:t> </w:t>
      </w:r>
      <w:r>
        <w:rPr/>
        <w:t>aggravation</w:t>
      </w:r>
      <w:r>
        <w:rPr>
          <w:spacing w:val="26"/>
        </w:rPr>
        <w:t> </w:t>
      </w:r>
      <w:r>
        <w:rPr/>
        <w:t>of</w:t>
      </w:r>
      <w:r>
        <w:rPr>
          <w:spacing w:val="26"/>
        </w:rPr>
        <w:t> </w:t>
      </w:r>
      <w:r>
        <w:rPr/>
        <w:t>the</w:t>
      </w:r>
      <w:r>
        <w:rPr>
          <w:spacing w:val="26"/>
        </w:rPr>
        <w:t> </w:t>
      </w:r>
      <w:r>
        <w:rPr/>
        <w:t>situation in South Africa is due primarily to the</w:t>
      </w:r>
      <w:r>
        <w:rPr>
          <w:spacing w:val="25"/>
        </w:rPr>
        <w:t> </w:t>
      </w:r>
      <w:r>
        <w:rPr/>
        <w:t>failure</w:t>
      </w:r>
      <w:r>
        <w:rPr>
          <w:spacing w:val="25"/>
        </w:rPr>
        <w:t> </w:t>
      </w:r>
      <w:r>
        <w:rPr/>
        <w:t>of</w:t>
      </w:r>
      <w:r>
        <w:rPr>
          <w:spacing w:val="25"/>
        </w:rPr>
        <w:t> </w:t>
      </w:r>
      <w:r>
        <w:rPr/>
        <w:t>the</w:t>
      </w:r>
      <w:r>
        <w:rPr>
          <w:spacing w:val="25"/>
        </w:rPr>
        <w:t> </w:t>
      </w:r>
      <w:r>
        <w:rPr/>
        <w:t>main</w:t>
      </w:r>
      <w:r>
        <w:rPr>
          <w:spacing w:val="25"/>
        </w:rPr>
        <w:t> </w:t>
      </w:r>
      <w:r>
        <w:rPr/>
        <w:t>trading</w:t>
      </w:r>
      <w:r>
        <w:rPr>
          <w:spacing w:val="25"/>
        </w:rPr>
        <w:t> </w:t>
      </w:r>
      <w:r>
        <w:rPr/>
        <w:t>partners</w:t>
      </w:r>
      <w:r>
        <w:rPr>
          <w:spacing w:val="25"/>
        </w:rPr>
        <w:t> </w:t>
      </w:r>
      <w:r>
        <w:rPr/>
        <w:t>of</w:t>
      </w:r>
      <w:r>
        <w:rPr>
          <w:spacing w:val="25"/>
        </w:rPr>
        <w:t> </w:t>
      </w:r>
      <w:r>
        <w:rPr/>
        <w:t>South</w:t>
      </w:r>
      <w:r>
        <w:rPr>
          <w:spacing w:val="25"/>
        </w:rPr>
        <w:t> </w:t>
      </w:r>
      <w:r>
        <w:rPr/>
        <w:t>Africa,</w:t>
      </w:r>
      <w:r>
        <w:rPr>
          <w:spacing w:val="26"/>
        </w:rPr>
        <w:t> </w:t>
      </w:r>
      <w:r>
        <w:rPr/>
        <w:t>including</w:t>
      </w:r>
      <w:r>
        <w:rPr>
          <w:spacing w:val="25"/>
        </w:rPr>
        <w:t> </w:t>
      </w:r>
      <w:r>
        <w:rPr/>
        <w:t>three</w:t>
      </w:r>
      <w:r>
        <w:rPr>
          <w:spacing w:val="25"/>
        </w:rPr>
        <w:t> </w:t>
      </w:r>
      <w:r>
        <w:rPr/>
        <w:t>permanent</w:t>
      </w:r>
      <w:r>
        <w:rPr>
          <w:spacing w:val="25"/>
        </w:rPr>
        <w:t> </w:t>
      </w:r>
      <w:r>
        <w:rPr/>
        <w:t>members of the Security Council, to abide by the appeals and request by the United Nations General Assembly and support effective measures to bring about an end to apartheid in South Africa,</w:t>
      </w:r>
    </w:p>
    <w:p>
      <w:pPr>
        <w:pStyle w:val="BodyText"/>
        <w:spacing w:before="11"/>
        <w:rPr>
          <w:sz w:val="33"/>
        </w:rPr>
      </w:pPr>
    </w:p>
    <w:p>
      <w:pPr>
        <w:pStyle w:val="BodyText"/>
        <w:spacing w:line="369" w:lineRule="auto"/>
        <w:ind w:left="171" w:right="155" w:firstLine="676"/>
        <w:jc w:val="both"/>
      </w:pPr>
      <w:r>
        <w:rPr>
          <w:b/>
          <w:u w:val="single"/>
        </w:rPr>
        <w:t>Emphasizing</w:t>
      </w:r>
      <w:r>
        <w:rPr>
          <w:b/>
        </w:rPr>
        <w:t> </w:t>
      </w:r>
      <w:r>
        <w:rPr/>
        <w:t>the urgency of solving the problem of apartheid in view of the increasingly explosive situation in Southern Africa;</w:t>
      </w:r>
    </w:p>
    <w:p>
      <w:pPr>
        <w:pStyle w:val="BodyText"/>
        <w:spacing w:before="7"/>
        <w:rPr>
          <w:sz w:val="33"/>
        </w:rPr>
      </w:pPr>
    </w:p>
    <w:p>
      <w:pPr>
        <w:pStyle w:val="ListParagraph"/>
        <w:numPr>
          <w:ilvl w:val="0"/>
          <w:numId w:val="1"/>
        </w:numPr>
        <w:tabs>
          <w:tab w:pos="1184" w:val="left" w:leader="none"/>
        </w:tabs>
        <w:spacing w:line="369" w:lineRule="auto" w:before="1" w:after="0"/>
        <w:ind w:left="1184" w:right="149" w:hanging="336"/>
        <w:jc w:val="left"/>
        <w:rPr>
          <w:sz w:val="22"/>
        </w:rPr>
      </w:pPr>
      <w:r>
        <w:rPr>
          <w:b/>
          <w:sz w:val="22"/>
        </w:rPr>
        <w:t>REAFFIRMS</w:t>
      </w:r>
      <w:r>
        <w:rPr>
          <w:b/>
          <w:spacing w:val="80"/>
          <w:w w:val="150"/>
          <w:sz w:val="22"/>
        </w:rPr>
        <w:t> </w:t>
      </w:r>
      <w:r>
        <w:rPr>
          <w:sz w:val="22"/>
        </w:rPr>
        <w:t>the</w:t>
      </w:r>
      <w:r>
        <w:rPr>
          <w:spacing w:val="80"/>
          <w:w w:val="150"/>
          <w:sz w:val="22"/>
        </w:rPr>
        <w:t> </w:t>
      </w:r>
      <w:r>
        <w:rPr>
          <w:sz w:val="22"/>
        </w:rPr>
        <w:t>decisions</w:t>
      </w:r>
      <w:r>
        <w:rPr>
          <w:spacing w:val="80"/>
          <w:w w:val="150"/>
          <w:sz w:val="22"/>
        </w:rPr>
        <w:t> </w:t>
      </w:r>
      <w:r>
        <w:rPr>
          <w:sz w:val="22"/>
        </w:rPr>
        <w:t>taken</w:t>
      </w:r>
      <w:r>
        <w:rPr>
          <w:spacing w:val="80"/>
          <w:w w:val="150"/>
          <w:sz w:val="22"/>
        </w:rPr>
        <w:t> </w:t>
      </w:r>
      <w:r>
        <w:rPr>
          <w:sz w:val="22"/>
        </w:rPr>
        <w:t>by</w:t>
      </w:r>
      <w:r>
        <w:rPr>
          <w:spacing w:val="80"/>
          <w:w w:val="150"/>
          <w:sz w:val="22"/>
        </w:rPr>
        <w:t> </w:t>
      </w:r>
      <w:r>
        <w:rPr>
          <w:sz w:val="22"/>
        </w:rPr>
        <w:t>the</w:t>
      </w:r>
      <w:r>
        <w:rPr>
          <w:spacing w:val="80"/>
          <w:w w:val="150"/>
          <w:sz w:val="22"/>
        </w:rPr>
        <w:t> </w:t>
      </w:r>
      <w:r>
        <w:rPr>
          <w:sz w:val="22"/>
        </w:rPr>
        <w:t>Organization</w:t>
      </w:r>
      <w:r>
        <w:rPr>
          <w:spacing w:val="80"/>
          <w:w w:val="150"/>
          <w:sz w:val="22"/>
        </w:rPr>
        <w:t> </w:t>
      </w:r>
      <w:r>
        <w:rPr>
          <w:sz w:val="22"/>
        </w:rPr>
        <w:t>of</w:t>
      </w:r>
      <w:r>
        <w:rPr>
          <w:spacing w:val="80"/>
          <w:w w:val="150"/>
          <w:sz w:val="22"/>
        </w:rPr>
        <w:t> </w:t>
      </w:r>
      <w:r>
        <w:rPr>
          <w:sz w:val="22"/>
        </w:rPr>
        <w:t>African</w:t>
      </w:r>
      <w:r>
        <w:rPr>
          <w:spacing w:val="80"/>
          <w:w w:val="150"/>
          <w:sz w:val="22"/>
        </w:rPr>
        <w:t> </w:t>
      </w:r>
      <w:r>
        <w:rPr>
          <w:sz w:val="22"/>
        </w:rPr>
        <w:t>Unity concerning “Apartheid and Racial Discrimination”;</w:t>
      </w:r>
    </w:p>
    <w:p>
      <w:pPr>
        <w:spacing w:after="0" w:line="369" w:lineRule="auto"/>
        <w:jc w:val="left"/>
        <w:rPr>
          <w:sz w:val="22"/>
        </w:rPr>
        <w:sectPr>
          <w:type w:val="continuous"/>
          <w:pgSz w:w="12240" w:h="15840"/>
          <w:pgMar w:top="620" w:bottom="280" w:left="1720" w:right="1720"/>
        </w:sectPr>
      </w:pPr>
    </w:p>
    <w:p>
      <w:pPr>
        <w:pStyle w:val="BodyText"/>
        <w:spacing w:before="4"/>
        <w:rPr>
          <w:sz w:val="26"/>
        </w:rPr>
      </w:pPr>
    </w:p>
    <w:p>
      <w:pPr>
        <w:pStyle w:val="ListParagraph"/>
        <w:numPr>
          <w:ilvl w:val="0"/>
          <w:numId w:val="1"/>
        </w:numPr>
        <w:tabs>
          <w:tab w:pos="1184" w:val="left" w:leader="none"/>
        </w:tabs>
        <w:spacing w:line="369" w:lineRule="auto" w:before="95" w:after="0"/>
        <w:ind w:left="1184" w:right="156" w:hanging="336"/>
        <w:jc w:val="both"/>
        <w:rPr>
          <w:sz w:val="22"/>
        </w:rPr>
      </w:pPr>
      <w:r>
        <w:rPr>
          <w:b/>
          <w:sz w:val="22"/>
        </w:rPr>
        <w:t>CONDEMNS </w:t>
      </w:r>
      <w:r>
        <w:rPr>
          <w:sz w:val="22"/>
        </w:rPr>
        <w:t>the actions of those States which, through political, economic and military collaboration with the Government of South Africa are encouraging it to persist in its racial policies;</w:t>
      </w:r>
    </w:p>
    <w:p>
      <w:pPr>
        <w:pStyle w:val="BodyText"/>
        <w:spacing w:before="7"/>
        <w:rPr>
          <w:sz w:val="33"/>
        </w:rPr>
      </w:pPr>
    </w:p>
    <w:p>
      <w:pPr>
        <w:pStyle w:val="ListParagraph"/>
        <w:numPr>
          <w:ilvl w:val="0"/>
          <w:numId w:val="1"/>
        </w:numPr>
        <w:tabs>
          <w:tab w:pos="1184" w:val="left" w:leader="none"/>
        </w:tabs>
        <w:spacing w:line="369" w:lineRule="auto" w:before="0" w:after="0"/>
        <w:ind w:left="1184" w:right="154" w:hanging="336"/>
        <w:jc w:val="both"/>
        <w:rPr>
          <w:sz w:val="22"/>
        </w:rPr>
      </w:pPr>
      <w:r>
        <w:rPr>
          <w:b/>
          <w:sz w:val="22"/>
        </w:rPr>
        <w:t>DEPLORES </w:t>
      </w:r>
      <w:r>
        <w:rPr>
          <w:sz w:val="22"/>
        </w:rPr>
        <w:t>the actions of the main trading partners of South Africa which have increased their trade with, and investment in South Africa in violation of</w:t>
      </w:r>
      <w:r>
        <w:rPr>
          <w:spacing w:val="80"/>
          <w:w w:val="150"/>
          <w:sz w:val="22"/>
        </w:rPr>
        <w:t> </w:t>
      </w:r>
      <w:r>
        <w:rPr>
          <w:sz w:val="22"/>
        </w:rPr>
        <w:t>resolutions of the United Nations General Assembly;</w:t>
      </w:r>
    </w:p>
    <w:p>
      <w:pPr>
        <w:pStyle w:val="BodyText"/>
        <w:spacing w:before="7"/>
        <w:rPr>
          <w:sz w:val="33"/>
        </w:rPr>
      </w:pPr>
    </w:p>
    <w:p>
      <w:pPr>
        <w:pStyle w:val="ListParagraph"/>
        <w:numPr>
          <w:ilvl w:val="0"/>
          <w:numId w:val="1"/>
        </w:numPr>
        <w:tabs>
          <w:tab w:pos="1184" w:val="left" w:leader="none"/>
        </w:tabs>
        <w:spacing w:line="369" w:lineRule="auto" w:before="0" w:after="0"/>
        <w:ind w:left="1184" w:right="141" w:hanging="336"/>
        <w:jc w:val="both"/>
        <w:rPr>
          <w:sz w:val="22"/>
        </w:rPr>
      </w:pPr>
      <w:r>
        <w:rPr>
          <w:b/>
          <w:sz w:val="22"/>
        </w:rPr>
        <w:t>STRONGLY CONDEMNS </w:t>
      </w:r>
      <w:r>
        <w:rPr>
          <w:sz w:val="22"/>
        </w:rPr>
        <w:t>the actions of those States which continue to sell military</w:t>
      </w:r>
      <w:r>
        <w:rPr>
          <w:spacing w:val="28"/>
          <w:sz w:val="22"/>
        </w:rPr>
        <w:t> </w:t>
      </w:r>
      <w:r>
        <w:rPr>
          <w:sz w:val="22"/>
        </w:rPr>
        <w:t>equipment</w:t>
      </w:r>
      <w:r>
        <w:rPr>
          <w:spacing w:val="28"/>
          <w:sz w:val="22"/>
        </w:rPr>
        <w:t> </w:t>
      </w:r>
      <w:r>
        <w:rPr>
          <w:sz w:val="22"/>
        </w:rPr>
        <w:t>to</w:t>
      </w:r>
      <w:r>
        <w:rPr>
          <w:spacing w:val="29"/>
          <w:sz w:val="22"/>
        </w:rPr>
        <w:t> </w:t>
      </w:r>
      <w:r>
        <w:rPr>
          <w:sz w:val="22"/>
        </w:rPr>
        <w:t>South</w:t>
      </w:r>
      <w:r>
        <w:rPr>
          <w:spacing w:val="28"/>
          <w:sz w:val="22"/>
        </w:rPr>
        <w:t> </w:t>
      </w:r>
      <w:r>
        <w:rPr>
          <w:sz w:val="22"/>
        </w:rPr>
        <w:t>African</w:t>
      </w:r>
      <w:r>
        <w:rPr>
          <w:spacing w:val="28"/>
          <w:sz w:val="22"/>
        </w:rPr>
        <w:t> </w:t>
      </w:r>
      <w:r>
        <w:rPr>
          <w:sz w:val="22"/>
        </w:rPr>
        <w:t>or</w:t>
      </w:r>
      <w:r>
        <w:rPr>
          <w:spacing w:val="28"/>
          <w:sz w:val="22"/>
        </w:rPr>
        <w:t> </w:t>
      </w:r>
      <w:r>
        <w:rPr>
          <w:sz w:val="22"/>
        </w:rPr>
        <w:t>to</w:t>
      </w:r>
      <w:r>
        <w:rPr>
          <w:spacing w:val="29"/>
          <w:sz w:val="22"/>
        </w:rPr>
        <w:t> </w:t>
      </w:r>
      <w:r>
        <w:rPr>
          <w:sz w:val="22"/>
        </w:rPr>
        <w:t>assist</w:t>
      </w:r>
      <w:r>
        <w:rPr>
          <w:spacing w:val="28"/>
          <w:sz w:val="22"/>
        </w:rPr>
        <w:t> </w:t>
      </w:r>
      <w:r>
        <w:rPr>
          <w:sz w:val="22"/>
        </w:rPr>
        <w:t>South</w:t>
      </w:r>
      <w:r>
        <w:rPr>
          <w:spacing w:val="28"/>
          <w:sz w:val="22"/>
        </w:rPr>
        <w:t> </w:t>
      </w:r>
      <w:r>
        <w:rPr>
          <w:sz w:val="22"/>
        </w:rPr>
        <w:t>Africa</w:t>
      </w:r>
      <w:r>
        <w:rPr>
          <w:spacing w:val="28"/>
          <w:sz w:val="22"/>
        </w:rPr>
        <w:t> </w:t>
      </w:r>
      <w:r>
        <w:rPr>
          <w:sz w:val="22"/>
        </w:rPr>
        <w:t>in</w:t>
      </w:r>
      <w:r>
        <w:rPr>
          <w:spacing w:val="28"/>
          <w:sz w:val="22"/>
        </w:rPr>
        <w:t> </w:t>
      </w:r>
      <w:r>
        <w:rPr>
          <w:sz w:val="22"/>
        </w:rPr>
        <w:t>the</w:t>
      </w:r>
      <w:r>
        <w:rPr>
          <w:spacing w:val="28"/>
          <w:sz w:val="22"/>
        </w:rPr>
        <w:t> </w:t>
      </w:r>
      <w:r>
        <w:rPr>
          <w:sz w:val="22"/>
        </w:rPr>
        <w:t>manufacture of arms and ammunition, in violation of resolutions of the United Nations General Assembly and Security Council;</w:t>
      </w:r>
    </w:p>
    <w:p>
      <w:pPr>
        <w:pStyle w:val="BodyText"/>
        <w:rPr>
          <w:sz w:val="34"/>
        </w:rPr>
      </w:pPr>
    </w:p>
    <w:p>
      <w:pPr>
        <w:pStyle w:val="ListParagraph"/>
        <w:numPr>
          <w:ilvl w:val="0"/>
          <w:numId w:val="1"/>
        </w:numPr>
        <w:tabs>
          <w:tab w:pos="1184" w:val="left" w:leader="none"/>
        </w:tabs>
        <w:spacing w:line="369" w:lineRule="auto" w:before="0" w:after="0"/>
        <w:ind w:left="1184" w:right="160" w:hanging="336"/>
        <w:jc w:val="both"/>
        <w:rPr>
          <w:sz w:val="22"/>
        </w:rPr>
      </w:pPr>
      <w:r>
        <w:rPr>
          <w:b/>
          <w:sz w:val="22"/>
        </w:rPr>
        <w:t>DEEPLY REGRETS </w:t>
      </w:r>
      <w:r>
        <w:rPr>
          <w:sz w:val="22"/>
        </w:rPr>
        <w:t>that the United Nations Security Council has failed to take effective measures to secure an end to apartheid because of the resistance of the main trading partners of South Africa, including permanent members of the</w:t>
      </w:r>
      <w:r>
        <w:rPr>
          <w:spacing w:val="80"/>
          <w:sz w:val="22"/>
        </w:rPr>
        <w:t> </w:t>
      </w:r>
      <w:r>
        <w:rPr>
          <w:sz w:val="22"/>
        </w:rPr>
        <w:t>Security Council;</w:t>
      </w:r>
    </w:p>
    <w:p>
      <w:pPr>
        <w:pStyle w:val="BodyText"/>
        <w:spacing w:before="6"/>
        <w:rPr>
          <w:sz w:val="33"/>
        </w:rPr>
      </w:pPr>
    </w:p>
    <w:p>
      <w:pPr>
        <w:pStyle w:val="ListParagraph"/>
        <w:numPr>
          <w:ilvl w:val="0"/>
          <w:numId w:val="1"/>
        </w:numPr>
        <w:tabs>
          <w:tab w:pos="1184" w:val="left" w:leader="none"/>
        </w:tabs>
        <w:spacing w:line="369" w:lineRule="auto" w:before="0" w:after="0"/>
        <w:ind w:left="1184" w:right="149" w:hanging="336"/>
        <w:jc w:val="both"/>
        <w:rPr>
          <w:sz w:val="22"/>
        </w:rPr>
      </w:pPr>
      <w:r>
        <w:rPr>
          <w:b/>
          <w:sz w:val="22"/>
        </w:rPr>
        <w:t>AGAIN CALLS </w:t>
      </w:r>
      <w:r>
        <w:rPr>
          <w:sz w:val="22"/>
        </w:rPr>
        <w:t>on all States which still have commercial and other ties with</w:t>
      </w:r>
      <w:r>
        <w:rPr>
          <w:spacing w:val="80"/>
          <w:sz w:val="22"/>
        </w:rPr>
        <w:t> </w:t>
      </w:r>
      <w:r>
        <w:rPr>
          <w:sz w:val="22"/>
        </w:rPr>
        <w:t>South Africa to server them without delay;</w:t>
      </w:r>
    </w:p>
    <w:p>
      <w:pPr>
        <w:pStyle w:val="BodyText"/>
        <w:spacing w:before="8"/>
        <w:rPr>
          <w:sz w:val="33"/>
        </w:rPr>
      </w:pPr>
    </w:p>
    <w:p>
      <w:pPr>
        <w:pStyle w:val="ListParagraph"/>
        <w:numPr>
          <w:ilvl w:val="0"/>
          <w:numId w:val="1"/>
        </w:numPr>
        <w:tabs>
          <w:tab w:pos="1184" w:val="left" w:leader="none"/>
        </w:tabs>
        <w:spacing w:line="369" w:lineRule="auto" w:before="0" w:after="0"/>
        <w:ind w:left="1184" w:right="155" w:hanging="336"/>
        <w:jc w:val="both"/>
        <w:rPr>
          <w:sz w:val="22"/>
        </w:rPr>
      </w:pPr>
      <w:r>
        <w:rPr>
          <w:b/>
          <w:sz w:val="22"/>
        </w:rPr>
        <w:t>DRAWS THE ATTENTION </w:t>
      </w:r>
      <w:r>
        <w:rPr>
          <w:sz w:val="22"/>
        </w:rPr>
        <w:t>of the main trading partners of South Africa to the fact that their non-co-operation with efforts to secure a peaceful solution through economic</w:t>
      </w:r>
      <w:r>
        <w:rPr>
          <w:spacing w:val="40"/>
          <w:sz w:val="22"/>
        </w:rPr>
        <w:t> </w:t>
      </w:r>
      <w:r>
        <w:rPr>
          <w:sz w:val="22"/>
        </w:rPr>
        <w:t>sanctions</w:t>
      </w:r>
      <w:r>
        <w:rPr>
          <w:spacing w:val="40"/>
          <w:sz w:val="22"/>
        </w:rPr>
        <w:t> </w:t>
      </w:r>
      <w:r>
        <w:rPr>
          <w:sz w:val="22"/>
        </w:rPr>
        <w:t>under</w:t>
      </w:r>
      <w:r>
        <w:rPr>
          <w:spacing w:val="40"/>
          <w:sz w:val="22"/>
        </w:rPr>
        <w:t> </w:t>
      </w:r>
      <w:r>
        <w:rPr>
          <w:sz w:val="22"/>
        </w:rPr>
        <w:t>Chapter</w:t>
      </w:r>
      <w:r>
        <w:rPr>
          <w:spacing w:val="40"/>
          <w:sz w:val="22"/>
        </w:rPr>
        <w:t> </w:t>
      </w:r>
      <w:r>
        <w:rPr>
          <w:sz w:val="22"/>
        </w:rPr>
        <w:t>VII</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Charter</w:t>
      </w:r>
      <w:r>
        <w:rPr>
          <w:spacing w:val="40"/>
          <w:sz w:val="22"/>
        </w:rPr>
        <w:t> </w:t>
      </w:r>
      <w:r>
        <w:rPr>
          <w:sz w:val="22"/>
        </w:rPr>
        <w:t>is aggravating</w:t>
      </w:r>
      <w:r>
        <w:rPr>
          <w:spacing w:val="40"/>
          <w:sz w:val="22"/>
        </w:rPr>
        <w:t> </w:t>
      </w:r>
      <w:r>
        <w:rPr>
          <w:sz w:val="22"/>
        </w:rPr>
        <w:t>the</w:t>
      </w:r>
      <w:r>
        <w:rPr>
          <w:spacing w:val="40"/>
          <w:sz w:val="22"/>
        </w:rPr>
        <w:t> </w:t>
      </w:r>
      <w:r>
        <w:rPr>
          <w:sz w:val="22"/>
        </w:rPr>
        <w:t>danger</w:t>
      </w:r>
      <w:r>
        <w:rPr>
          <w:spacing w:val="40"/>
          <w:sz w:val="22"/>
        </w:rPr>
        <w:t> </w:t>
      </w:r>
      <w:r>
        <w:rPr>
          <w:sz w:val="22"/>
        </w:rPr>
        <w:t>of</w:t>
      </w:r>
      <w:r>
        <w:rPr>
          <w:spacing w:val="40"/>
          <w:sz w:val="22"/>
        </w:rPr>
        <w:t> </w:t>
      </w:r>
      <w:r>
        <w:rPr>
          <w:sz w:val="22"/>
        </w:rPr>
        <w:t>a</w:t>
      </w:r>
      <w:r>
        <w:rPr>
          <w:spacing w:val="40"/>
          <w:sz w:val="22"/>
        </w:rPr>
        <w:t> </w:t>
      </w:r>
      <w:r>
        <w:rPr>
          <w:sz w:val="22"/>
        </w:rPr>
        <w:t>violent</w:t>
      </w:r>
      <w:r>
        <w:rPr>
          <w:spacing w:val="40"/>
          <w:sz w:val="22"/>
        </w:rPr>
        <w:t> </w:t>
      </w:r>
      <w:r>
        <w:rPr>
          <w:sz w:val="22"/>
        </w:rPr>
        <w:t>conflict</w:t>
      </w:r>
      <w:r>
        <w:rPr>
          <w:spacing w:val="40"/>
          <w:sz w:val="22"/>
        </w:rPr>
        <w:t> </w:t>
      </w:r>
      <w:r>
        <w:rPr>
          <w:sz w:val="22"/>
        </w:rPr>
        <w:t>and</w:t>
      </w:r>
      <w:r>
        <w:rPr>
          <w:spacing w:val="40"/>
          <w:sz w:val="22"/>
        </w:rPr>
        <w:t> </w:t>
      </w:r>
      <w:r>
        <w:rPr>
          <w:sz w:val="22"/>
        </w:rPr>
        <w:t>appeals</w:t>
      </w:r>
      <w:r>
        <w:rPr>
          <w:spacing w:val="40"/>
          <w:sz w:val="22"/>
        </w:rPr>
        <w:t> </w:t>
      </w:r>
      <w:r>
        <w:rPr>
          <w:sz w:val="22"/>
        </w:rPr>
        <w:t>to</w:t>
      </w:r>
      <w:r>
        <w:rPr>
          <w:spacing w:val="40"/>
          <w:sz w:val="22"/>
        </w:rPr>
        <w:t> </w:t>
      </w:r>
      <w:r>
        <w:rPr>
          <w:sz w:val="22"/>
        </w:rPr>
        <w:t>them</w:t>
      </w:r>
      <w:r>
        <w:rPr>
          <w:spacing w:val="40"/>
          <w:sz w:val="22"/>
        </w:rPr>
        <w:t> </w:t>
      </w:r>
      <w:r>
        <w:rPr>
          <w:sz w:val="22"/>
        </w:rPr>
        <w:t>to</w:t>
      </w:r>
      <w:r>
        <w:rPr>
          <w:spacing w:val="40"/>
          <w:sz w:val="22"/>
        </w:rPr>
        <w:t> </w:t>
      </w:r>
      <w:r>
        <w:rPr>
          <w:sz w:val="22"/>
        </w:rPr>
        <w:t>take</w:t>
      </w:r>
      <w:r>
        <w:rPr>
          <w:spacing w:val="40"/>
          <w:sz w:val="22"/>
        </w:rPr>
        <w:t> </w:t>
      </w:r>
      <w:r>
        <w:rPr>
          <w:sz w:val="22"/>
        </w:rPr>
        <w:t>urgent steps towards disengagement from South Africa;</w:t>
      </w:r>
    </w:p>
    <w:p>
      <w:pPr>
        <w:pStyle w:val="BodyText"/>
        <w:spacing w:before="5"/>
        <w:rPr>
          <w:sz w:val="33"/>
        </w:rPr>
      </w:pPr>
    </w:p>
    <w:p>
      <w:pPr>
        <w:pStyle w:val="ListParagraph"/>
        <w:numPr>
          <w:ilvl w:val="0"/>
          <w:numId w:val="1"/>
        </w:numPr>
        <w:tabs>
          <w:tab w:pos="1184" w:val="left" w:leader="none"/>
        </w:tabs>
        <w:spacing w:line="369" w:lineRule="auto" w:before="0" w:after="0"/>
        <w:ind w:left="1184" w:right="157" w:hanging="336"/>
        <w:jc w:val="both"/>
        <w:rPr>
          <w:sz w:val="22"/>
        </w:rPr>
      </w:pPr>
      <w:r>
        <w:rPr>
          <w:b/>
          <w:sz w:val="22"/>
        </w:rPr>
        <w:t>SUPPORTS</w:t>
      </w:r>
      <w:r>
        <w:rPr>
          <w:b/>
          <w:spacing w:val="40"/>
          <w:sz w:val="22"/>
        </w:rPr>
        <w:t> </w:t>
      </w:r>
      <w:r>
        <w:rPr>
          <w:sz w:val="22"/>
        </w:rPr>
        <w:t>the</w:t>
      </w:r>
      <w:r>
        <w:rPr>
          <w:spacing w:val="40"/>
          <w:sz w:val="22"/>
        </w:rPr>
        <w:t> </w:t>
      </w:r>
      <w:r>
        <w:rPr>
          <w:sz w:val="22"/>
        </w:rPr>
        <w:t>recommendations</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Special</w:t>
      </w:r>
      <w:r>
        <w:rPr>
          <w:spacing w:val="40"/>
          <w:sz w:val="22"/>
        </w:rPr>
        <w:t> </w:t>
      </w:r>
      <w:r>
        <w:rPr>
          <w:sz w:val="22"/>
        </w:rPr>
        <w:t>Committee</w:t>
      </w:r>
      <w:r>
        <w:rPr>
          <w:spacing w:val="40"/>
          <w:sz w:val="22"/>
        </w:rPr>
        <w:t> </w:t>
      </w:r>
      <w:r>
        <w:rPr>
          <w:sz w:val="22"/>
        </w:rPr>
        <w:t>on the</w:t>
      </w:r>
      <w:r>
        <w:rPr>
          <w:spacing w:val="29"/>
          <w:sz w:val="22"/>
        </w:rPr>
        <w:t> </w:t>
      </w:r>
      <w:r>
        <w:rPr>
          <w:sz w:val="22"/>
        </w:rPr>
        <w:t>Policies</w:t>
      </w:r>
      <w:r>
        <w:rPr>
          <w:spacing w:val="29"/>
          <w:sz w:val="22"/>
        </w:rPr>
        <w:t> </w:t>
      </w:r>
      <w:r>
        <w:rPr>
          <w:sz w:val="22"/>
        </w:rPr>
        <w:t>of</w:t>
      </w:r>
      <w:r>
        <w:rPr>
          <w:spacing w:val="28"/>
          <w:sz w:val="22"/>
        </w:rPr>
        <w:t> </w:t>
      </w:r>
      <w:r>
        <w:rPr>
          <w:sz w:val="22"/>
        </w:rPr>
        <w:t>Apartheid</w:t>
      </w:r>
      <w:r>
        <w:rPr>
          <w:spacing w:val="30"/>
          <w:sz w:val="22"/>
        </w:rPr>
        <w:t> </w:t>
      </w:r>
      <w:r>
        <w:rPr>
          <w:sz w:val="22"/>
        </w:rPr>
        <w:t>of</w:t>
      </w:r>
      <w:r>
        <w:rPr>
          <w:spacing w:val="27"/>
          <w:sz w:val="22"/>
        </w:rPr>
        <w:t> </w:t>
      </w:r>
      <w:r>
        <w:rPr>
          <w:sz w:val="22"/>
        </w:rPr>
        <w:t>the</w:t>
      </w:r>
      <w:r>
        <w:rPr>
          <w:spacing w:val="27"/>
          <w:sz w:val="22"/>
        </w:rPr>
        <w:t> </w:t>
      </w:r>
      <w:r>
        <w:rPr>
          <w:sz w:val="22"/>
        </w:rPr>
        <w:t>Government</w:t>
      </w:r>
      <w:r>
        <w:rPr>
          <w:spacing w:val="27"/>
          <w:sz w:val="22"/>
        </w:rPr>
        <w:t> </w:t>
      </w:r>
      <w:r>
        <w:rPr>
          <w:sz w:val="22"/>
        </w:rPr>
        <w:t>of</w:t>
      </w:r>
      <w:r>
        <w:rPr>
          <w:spacing w:val="27"/>
          <w:sz w:val="22"/>
        </w:rPr>
        <w:t> </w:t>
      </w:r>
      <w:r>
        <w:rPr>
          <w:sz w:val="22"/>
        </w:rPr>
        <w:t>the</w:t>
      </w:r>
      <w:r>
        <w:rPr>
          <w:spacing w:val="27"/>
          <w:sz w:val="22"/>
        </w:rPr>
        <w:t> </w:t>
      </w:r>
      <w:r>
        <w:rPr>
          <w:sz w:val="22"/>
        </w:rPr>
        <w:t>Republic</w:t>
      </w:r>
      <w:r>
        <w:rPr>
          <w:spacing w:val="27"/>
          <w:sz w:val="22"/>
        </w:rPr>
        <w:t> </w:t>
      </w:r>
      <w:r>
        <w:rPr>
          <w:sz w:val="22"/>
        </w:rPr>
        <w:t>of</w:t>
      </w:r>
      <w:r>
        <w:rPr>
          <w:spacing w:val="27"/>
          <w:sz w:val="22"/>
        </w:rPr>
        <w:t> </w:t>
      </w:r>
      <w:r>
        <w:rPr>
          <w:sz w:val="22"/>
        </w:rPr>
        <w:t>South</w:t>
      </w:r>
      <w:r>
        <w:rPr>
          <w:spacing w:val="27"/>
          <w:sz w:val="22"/>
        </w:rPr>
        <w:t> </w:t>
      </w:r>
      <w:r>
        <w:rPr>
          <w:sz w:val="22"/>
        </w:rPr>
        <w:t>Africa</w:t>
      </w:r>
      <w:r>
        <w:rPr>
          <w:spacing w:val="27"/>
          <w:sz w:val="22"/>
        </w:rPr>
        <w:t> </w:t>
      </w:r>
      <w:r>
        <w:rPr>
          <w:sz w:val="22"/>
        </w:rPr>
        <w:t>for an international campaign against apartheid, under the auspices of the United </w:t>
      </w:r>
      <w:r>
        <w:rPr>
          <w:spacing w:val="-2"/>
          <w:sz w:val="22"/>
        </w:rPr>
        <w:t>Nations;</w:t>
      </w:r>
    </w:p>
    <w:p>
      <w:pPr>
        <w:pStyle w:val="BodyText"/>
        <w:spacing w:before="11"/>
        <w:rPr>
          <w:sz w:val="33"/>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GREETS </w:t>
      </w:r>
      <w:r>
        <w:rPr>
          <w:sz w:val="22"/>
        </w:rPr>
        <w:t>all those who are struggling against apartheid, particularly in South </w:t>
      </w:r>
      <w:r>
        <w:rPr>
          <w:spacing w:val="-2"/>
          <w:sz w:val="22"/>
        </w:rPr>
        <w:t>Africa;</w:t>
      </w:r>
    </w:p>
    <w:p>
      <w:pPr>
        <w:spacing w:after="0" w:line="369" w:lineRule="auto"/>
        <w:jc w:val="both"/>
        <w:rPr>
          <w:sz w:val="22"/>
        </w:rPr>
        <w:sectPr>
          <w:headerReference w:type="default" r:id="rId5"/>
          <w:pgSz w:w="12240" w:h="15840"/>
          <w:pgMar w:header="701" w:footer="0" w:top="940" w:bottom="280" w:left="1720" w:right="1720"/>
        </w:sectPr>
      </w:pPr>
    </w:p>
    <w:p>
      <w:pPr>
        <w:pStyle w:val="BodyText"/>
        <w:spacing w:before="4"/>
        <w:rPr>
          <w:sz w:val="26"/>
        </w:rPr>
      </w:pPr>
    </w:p>
    <w:p>
      <w:pPr>
        <w:pStyle w:val="ListParagraph"/>
        <w:numPr>
          <w:ilvl w:val="0"/>
          <w:numId w:val="1"/>
        </w:numPr>
        <w:tabs>
          <w:tab w:pos="1184" w:val="left" w:leader="none"/>
        </w:tabs>
        <w:spacing w:line="367" w:lineRule="auto" w:before="95" w:after="0"/>
        <w:ind w:left="1184" w:right="160" w:hanging="336"/>
        <w:jc w:val="both"/>
        <w:rPr>
          <w:sz w:val="22"/>
        </w:rPr>
      </w:pPr>
      <w:r>
        <w:rPr>
          <w:b/>
          <w:sz w:val="22"/>
        </w:rPr>
        <w:t>REAFFIRMS</w:t>
      </w:r>
      <w:r>
        <w:rPr>
          <w:b/>
          <w:spacing w:val="40"/>
          <w:sz w:val="22"/>
        </w:rPr>
        <w:t> </w:t>
      </w:r>
      <w:r>
        <w:rPr>
          <w:sz w:val="22"/>
        </w:rPr>
        <w:t>support</w:t>
      </w:r>
      <w:r>
        <w:rPr>
          <w:spacing w:val="40"/>
          <w:sz w:val="22"/>
        </w:rPr>
        <w:t> </w:t>
      </w:r>
      <w:r>
        <w:rPr>
          <w:sz w:val="22"/>
        </w:rPr>
        <w:t>for</w:t>
      </w:r>
      <w:r>
        <w:rPr>
          <w:spacing w:val="40"/>
          <w:sz w:val="22"/>
        </w:rPr>
        <w:t> </w:t>
      </w:r>
      <w:r>
        <w:rPr>
          <w:sz w:val="22"/>
        </w:rPr>
        <w:t>humanitarian</w:t>
      </w:r>
      <w:r>
        <w:rPr>
          <w:spacing w:val="40"/>
          <w:sz w:val="22"/>
        </w:rPr>
        <w:t> </w:t>
      </w:r>
      <w:r>
        <w:rPr>
          <w:sz w:val="22"/>
        </w:rPr>
        <w:t>programmes</w:t>
      </w:r>
      <w:r>
        <w:rPr>
          <w:spacing w:val="40"/>
          <w:sz w:val="22"/>
        </w:rPr>
        <w:t> </w:t>
      </w:r>
      <w:r>
        <w:rPr>
          <w:sz w:val="22"/>
        </w:rPr>
        <w:t>designed</w:t>
      </w:r>
      <w:r>
        <w:rPr>
          <w:spacing w:val="40"/>
          <w:sz w:val="22"/>
        </w:rPr>
        <w:t> </w:t>
      </w:r>
      <w:r>
        <w:rPr>
          <w:sz w:val="22"/>
        </w:rPr>
        <w:t>to</w:t>
      </w:r>
      <w:r>
        <w:rPr>
          <w:spacing w:val="40"/>
          <w:sz w:val="22"/>
        </w:rPr>
        <w:t> </w:t>
      </w:r>
      <w:r>
        <w:rPr>
          <w:sz w:val="22"/>
        </w:rPr>
        <w:t>assist</w:t>
      </w:r>
      <w:r>
        <w:rPr>
          <w:spacing w:val="40"/>
          <w:sz w:val="22"/>
        </w:rPr>
        <w:t> </w:t>
      </w:r>
      <w:r>
        <w:rPr>
          <w:sz w:val="22"/>
        </w:rPr>
        <w:t>the victims</w:t>
      </w:r>
      <w:r>
        <w:rPr>
          <w:spacing w:val="37"/>
          <w:sz w:val="22"/>
        </w:rPr>
        <w:t> </w:t>
      </w:r>
      <w:r>
        <w:rPr>
          <w:sz w:val="22"/>
        </w:rPr>
        <w:t>of</w:t>
      </w:r>
      <w:r>
        <w:rPr>
          <w:spacing w:val="37"/>
          <w:sz w:val="22"/>
        </w:rPr>
        <w:t> </w:t>
      </w:r>
      <w:r>
        <w:rPr>
          <w:sz w:val="22"/>
        </w:rPr>
        <w:t>apartheid,</w:t>
      </w:r>
      <w:r>
        <w:rPr>
          <w:spacing w:val="38"/>
          <w:sz w:val="22"/>
        </w:rPr>
        <w:t> </w:t>
      </w:r>
      <w:r>
        <w:rPr>
          <w:sz w:val="22"/>
        </w:rPr>
        <w:t>including</w:t>
      </w:r>
      <w:r>
        <w:rPr>
          <w:spacing w:val="37"/>
          <w:sz w:val="22"/>
        </w:rPr>
        <w:t> </w:t>
      </w:r>
      <w:r>
        <w:rPr>
          <w:sz w:val="22"/>
        </w:rPr>
        <w:t>the</w:t>
      </w:r>
      <w:r>
        <w:rPr>
          <w:spacing w:val="37"/>
          <w:sz w:val="22"/>
        </w:rPr>
        <w:t> </w:t>
      </w:r>
      <w:r>
        <w:rPr>
          <w:sz w:val="22"/>
        </w:rPr>
        <w:t>United</w:t>
      </w:r>
      <w:r>
        <w:rPr>
          <w:spacing w:val="38"/>
          <w:sz w:val="22"/>
        </w:rPr>
        <w:t> </w:t>
      </w:r>
      <w:r>
        <w:rPr>
          <w:sz w:val="22"/>
        </w:rPr>
        <w:t>Nations</w:t>
      </w:r>
      <w:r>
        <w:rPr>
          <w:spacing w:val="37"/>
          <w:sz w:val="22"/>
        </w:rPr>
        <w:t> </w:t>
      </w:r>
      <w:r>
        <w:rPr>
          <w:sz w:val="22"/>
        </w:rPr>
        <w:t>Trust</w:t>
      </w:r>
      <w:r>
        <w:rPr>
          <w:spacing w:val="37"/>
          <w:sz w:val="22"/>
        </w:rPr>
        <w:t> </w:t>
      </w:r>
      <w:r>
        <w:rPr>
          <w:sz w:val="22"/>
        </w:rPr>
        <w:t>Fund</w:t>
      </w:r>
      <w:r>
        <w:rPr>
          <w:spacing w:val="38"/>
          <w:sz w:val="22"/>
        </w:rPr>
        <w:t> </w:t>
      </w:r>
      <w:r>
        <w:rPr>
          <w:sz w:val="22"/>
        </w:rPr>
        <w:t>for</w:t>
      </w:r>
      <w:r>
        <w:rPr>
          <w:spacing w:val="38"/>
          <w:sz w:val="22"/>
        </w:rPr>
        <w:t> </w:t>
      </w:r>
      <w:r>
        <w:rPr>
          <w:sz w:val="22"/>
        </w:rPr>
        <w:t>South</w:t>
      </w:r>
      <w:r>
        <w:rPr>
          <w:spacing w:val="37"/>
          <w:sz w:val="22"/>
        </w:rPr>
        <w:t> </w:t>
      </w:r>
      <w:r>
        <w:rPr>
          <w:sz w:val="22"/>
        </w:rPr>
        <w:t>Africa, and programmes to grant scholarships, educational facilities and employment opportunities to refugees from South Africa;</w:t>
      </w:r>
    </w:p>
    <w:p>
      <w:pPr>
        <w:pStyle w:val="BodyText"/>
        <w:spacing w:before="5"/>
        <w:rPr>
          <w:sz w:val="34"/>
        </w:rPr>
      </w:pPr>
    </w:p>
    <w:p>
      <w:pPr>
        <w:pStyle w:val="ListParagraph"/>
        <w:numPr>
          <w:ilvl w:val="0"/>
          <w:numId w:val="1"/>
        </w:numPr>
        <w:tabs>
          <w:tab w:pos="1184" w:val="left" w:leader="none"/>
        </w:tabs>
        <w:spacing w:line="369" w:lineRule="auto" w:before="0" w:after="0"/>
        <w:ind w:left="1184" w:right="143" w:hanging="336"/>
        <w:jc w:val="both"/>
        <w:rPr>
          <w:sz w:val="22"/>
        </w:rPr>
      </w:pPr>
      <w:r>
        <w:rPr>
          <w:b/>
          <w:sz w:val="22"/>
        </w:rPr>
        <w:t>SUPPORTS </w:t>
      </w:r>
      <w:r>
        <w:rPr>
          <w:sz w:val="22"/>
        </w:rPr>
        <w:t>the decision of the General Assembly to proclaim the anniversary of the Sharpeville massacre, 21 March, as “International Day for the Elimination of Racial Discrimination” and urges all African States and Organizations to co-</w:t>
      </w:r>
      <w:r>
        <w:rPr>
          <w:spacing w:val="80"/>
          <w:sz w:val="22"/>
        </w:rPr>
        <w:t> </w:t>
      </w:r>
      <w:r>
        <w:rPr>
          <w:sz w:val="22"/>
        </w:rPr>
        <w:t>operate in observing that day;</w:t>
      </w:r>
    </w:p>
    <w:p>
      <w:pPr>
        <w:pStyle w:val="BodyText"/>
        <w:spacing w:before="6"/>
        <w:rPr>
          <w:sz w:val="33"/>
        </w:rPr>
      </w:pPr>
    </w:p>
    <w:p>
      <w:pPr>
        <w:pStyle w:val="ListParagraph"/>
        <w:numPr>
          <w:ilvl w:val="0"/>
          <w:numId w:val="1"/>
        </w:numPr>
        <w:tabs>
          <w:tab w:pos="1184" w:val="left" w:leader="none"/>
        </w:tabs>
        <w:spacing w:line="369" w:lineRule="auto" w:before="0" w:after="0"/>
        <w:ind w:left="1184" w:right="155" w:hanging="336"/>
        <w:jc w:val="both"/>
        <w:rPr>
          <w:sz w:val="22"/>
        </w:rPr>
      </w:pPr>
      <w:r>
        <w:rPr>
          <w:b/>
          <w:sz w:val="22"/>
        </w:rPr>
        <w:t>REQUESTS </w:t>
      </w:r>
      <w:r>
        <w:rPr>
          <w:sz w:val="22"/>
        </w:rPr>
        <w:t>the Foreign Ministers of Liberia, Madagascar, Sierra Leone and Tunisia,</w:t>
      </w:r>
      <w:r>
        <w:rPr>
          <w:spacing w:val="40"/>
          <w:sz w:val="22"/>
        </w:rPr>
        <w:t> </w:t>
      </w:r>
      <w:r>
        <w:rPr>
          <w:sz w:val="22"/>
        </w:rPr>
        <w:t>in</w:t>
      </w:r>
      <w:r>
        <w:rPr>
          <w:spacing w:val="40"/>
          <w:sz w:val="22"/>
        </w:rPr>
        <w:t> </w:t>
      </w:r>
      <w:r>
        <w:rPr>
          <w:sz w:val="22"/>
        </w:rPr>
        <w:t>co-operation</w:t>
      </w:r>
      <w:r>
        <w:rPr>
          <w:spacing w:val="40"/>
          <w:sz w:val="22"/>
        </w:rPr>
        <w:t> </w:t>
      </w:r>
      <w:r>
        <w:rPr>
          <w:sz w:val="22"/>
        </w:rPr>
        <w:t>with</w:t>
      </w:r>
      <w:r>
        <w:rPr>
          <w:spacing w:val="40"/>
          <w:sz w:val="22"/>
        </w:rPr>
        <w:t> </w:t>
      </w:r>
      <w:r>
        <w:rPr>
          <w:sz w:val="22"/>
        </w:rPr>
        <w:t>the</w:t>
      </w:r>
      <w:r>
        <w:rPr>
          <w:spacing w:val="40"/>
          <w:sz w:val="22"/>
        </w:rPr>
        <w:t> </w:t>
      </w:r>
      <w:r>
        <w:rPr>
          <w:sz w:val="22"/>
        </w:rPr>
        <w:t>African</w:t>
      </w:r>
      <w:r>
        <w:rPr>
          <w:spacing w:val="40"/>
          <w:sz w:val="22"/>
        </w:rPr>
        <w:t> </w:t>
      </w:r>
      <w:r>
        <w:rPr>
          <w:sz w:val="22"/>
        </w:rPr>
        <w:t>Group</w:t>
      </w:r>
      <w:r>
        <w:rPr>
          <w:spacing w:val="40"/>
          <w:sz w:val="22"/>
        </w:rPr>
        <w:t> </w:t>
      </w:r>
      <w:r>
        <w:rPr>
          <w:sz w:val="22"/>
        </w:rPr>
        <w:t>at</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to persevere in their effort to secure effective action to eliminate apartheid in South </w:t>
      </w:r>
      <w:r>
        <w:rPr>
          <w:spacing w:val="-2"/>
          <w:sz w:val="22"/>
        </w:rPr>
        <w:t>Africa.</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7.23999pt;margin-top:34.068241pt;width:83pt;height:14.5pt;mso-position-horizontal-relative:page;mso-position-vertical-relative:page;z-index:-15769088" type="#_x0000_t202" id="docshape1" filled="false" stroked="false">
          <v:textbox inset="0,0,0,0">
            <w:txbxContent>
              <w:p>
                <w:pPr>
                  <w:pStyle w:val="BodyText"/>
                  <w:spacing w:before="15"/>
                  <w:ind w:left="20"/>
                </w:pPr>
                <w:r>
                  <w:rPr/>
                  <w:t>CM/Res.</w:t>
                </w:r>
                <w:r>
                  <w:rPr>
                    <w:spacing w:val="13"/>
                  </w:rPr>
                  <w:t> </w:t>
                </w:r>
                <w:r>
                  <w:rPr/>
                  <w:t>86</w:t>
                </w:r>
                <w:r>
                  <w:rPr>
                    <w:spacing w:val="13"/>
                  </w:rPr>
                  <w:t> </w:t>
                </w:r>
                <w:r>
                  <w:rPr>
                    <w:spacing w:val="-2"/>
                  </w:rPr>
                  <w:t>(VII)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99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SEVENTH ORDINARY SESSION OF THE COUNCIL OF MINISTERS HELD IN ADDIS ABABA, ETHIOPIA FROM 31 OCTOBER TO 4 NOVEMBER 1966</dc:title>
  <dcterms:created xsi:type="dcterms:W3CDTF">2023-06-06T12:55:37Z</dcterms:created>
  <dcterms:modified xsi:type="dcterms:W3CDTF">2023-06-06T12:55:37Z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