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575"/>
      </w:pPr>
      <w:r>
        <w:rPr>
          <w:u w:val="single"/>
        </w:rPr>
        <w:t>RESOLUTION</w:t>
      </w:r>
      <w:r>
        <w:rPr>
          <w:spacing w:val="17"/>
          <w:u w:val="single"/>
        </w:rPr>
        <w:t> </w:t>
      </w:r>
      <w:r>
        <w:rPr>
          <w:u w:val="single"/>
        </w:rPr>
        <w:t>ON</w:t>
      </w:r>
      <w:r>
        <w:rPr>
          <w:spacing w:val="17"/>
          <w:u w:val="single"/>
        </w:rPr>
        <w:t> </w:t>
      </w:r>
      <w:r>
        <w:rPr>
          <w:spacing w:val="-2"/>
          <w:u w:val="single"/>
        </w:rPr>
        <w:t>INDUSTRIALIZATION</w:t>
      </w:r>
    </w:p>
    <w:p>
      <w:pPr>
        <w:pStyle w:val="BodyText"/>
        <w:rPr>
          <w:sz w:val="20"/>
        </w:rPr>
      </w:pPr>
    </w:p>
    <w:p>
      <w:pPr>
        <w:pStyle w:val="BodyText"/>
        <w:spacing w:before="4"/>
        <w:rPr>
          <w:sz w:val="17"/>
        </w:rPr>
      </w:pPr>
    </w:p>
    <w:p>
      <w:pPr>
        <w:pStyle w:val="BodyText"/>
        <w:spacing w:line="369" w:lineRule="auto" w:before="96"/>
        <w:ind w:left="171" w:right="149"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43" w:firstLine="676"/>
        <w:jc w:val="both"/>
      </w:pPr>
      <w:r>
        <w:rPr>
          <w:u w:val="single"/>
        </w:rPr>
        <w:t>Convinced</w:t>
      </w:r>
      <w:r>
        <w:rPr>
          <w:spacing w:val="40"/>
        </w:rPr>
        <w:t> </w:t>
      </w:r>
      <w:r>
        <w:rPr/>
        <w:t>that</w:t>
      </w:r>
      <w:r>
        <w:rPr>
          <w:spacing w:val="40"/>
        </w:rPr>
        <w:t> </w:t>
      </w:r>
      <w:r>
        <w:rPr/>
        <w:t>industrialization</w:t>
      </w:r>
      <w:r>
        <w:rPr>
          <w:spacing w:val="40"/>
        </w:rPr>
        <w:t> </w:t>
      </w:r>
      <w:r>
        <w:rPr/>
        <w:t>is</w:t>
      </w:r>
      <w:r>
        <w:rPr>
          <w:spacing w:val="40"/>
        </w:rPr>
        <w:t> </w:t>
      </w:r>
      <w:r>
        <w:rPr/>
        <w:t>absolutely</w:t>
      </w:r>
      <w:r>
        <w:rPr>
          <w:spacing w:val="40"/>
        </w:rPr>
        <w:t> </w:t>
      </w:r>
      <w:r>
        <w:rPr/>
        <w:t>necessary</w:t>
      </w:r>
      <w:r>
        <w:rPr>
          <w:spacing w:val="40"/>
        </w:rPr>
        <w:t> </w:t>
      </w:r>
      <w:r>
        <w:rPr/>
        <w:t>both</w:t>
      </w:r>
      <w:r>
        <w:rPr>
          <w:spacing w:val="40"/>
        </w:rPr>
        <w:t> </w:t>
      </w:r>
      <w:r>
        <w:rPr/>
        <w:t>in</w:t>
      </w:r>
      <w:r>
        <w:rPr>
          <w:spacing w:val="40"/>
        </w:rPr>
        <w:t> </w:t>
      </w:r>
      <w:r>
        <w:rPr/>
        <w:t>our</w:t>
      </w:r>
      <w:r>
        <w:rPr>
          <w:spacing w:val="40"/>
        </w:rPr>
        <w:t> </w:t>
      </w:r>
      <w:r>
        <w:rPr/>
        <w:t>efforts</w:t>
      </w:r>
      <w:r>
        <w:rPr>
          <w:spacing w:val="40"/>
        </w:rPr>
        <w:t> </w:t>
      </w:r>
      <w:r>
        <w:rPr/>
        <w:t>to raise the living standards prevailing on the continent through rapid economic development, as well as in our endeavors to transform the structure of our traditional economies, thereby freeing dynamic economic forces that would contribute towards the attainment of sustained economic growth;</w:t>
      </w:r>
    </w:p>
    <w:p>
      <w:pPr>
        <w:pStyle w:val="BodyText"/>
        <w:spacing w:before="5"/>
        <w:rPr>
          <w:sz w:val="33"/>
        </w:rPr>
      </w:pPr>
    </w:p>
    <w:p>
      <w:pPr>
        <w:pStyle w:val="BodyText"/>
        <w:spacing w:line="369" w:lineRule="auto" w:before="1"/>
        <w:ind w:left="171" w:right="149" w:firstLine="676"/>
        <w:jc w:val="both"/>
      </w:pPr>
      <w:r>
        <w:rPr>
          <w:u w:val="single"/>
        </w:rPr>
        <w:t>Recognizing</w:t>
      </w:r>
      <w:r>
        <w:rPr/>
        <w:t> that the lack of </w:t>
      </w:r>
      <w:r>
        <w:rPr>
          <w:u w:val="single"/>
        </w:rPr>
        <w:t>sufficiently large</w:t>
      </w:r>
      <w:r>
        <w:rPr/>
        <w:t> markets capable of supporting the efficient installation and manning of mass-production industrial plants, as well as scarcities in both skilled labour and capital, constitute the most serious impediments to African industrialization;</w:t>
      </w:r>
    </w:p>
    <w:p>
      <w:pPr>
        <w:pStyle w:val="BodyText"/>
        <w:spacing w:before="10"/>
        <w:rPr>
          <w:sz w:val="33"/>
        </w:rPr>
      </w:pPr>
    </w:p>
    <w:p>
      <w:pPr>
        <w:pStyle w:val="BodyText"/>
        <w:spacing w:line="369" w:lineRule="auto" w:before="1"/>
        <w:ind w:left="171" w:right="157" w:firstLine="676"/>
        <w:jc w:val="both"/>
      </w:pPr>
      <w:r>
        <w:rPr>
          <w:u w:val="single"/>
        </w:rPr>
        <w:t>Bearing in mind that</w:t>
      </w:r>
      <w:r>
        <w:rPr/>
        <w:t> co-operative effort would quicken the pace of economic development as a whole and industrialization in particular,</w:t>
      </w:r>
    </w:p>
    <w:p>
      <w:pPr>
        <w:pStyle w:val="BodyText"/>
        <w:spacing w:before="7"/>
        <w:rPr>
          <w:sz w:val="33"/>
        </w:rPr>
      </w:pPr>
    </w:p>
    <w:p>
      <w:pPr>
        <w:pStyle w:val="BodyText"/>
        <w:ind w:left="848"/>
      </w:pPr>
      <w:r>
        <w:rPr>
          <w:spacing w:val="-2"/>
        </w:rPr>
        <w:t>RECOMMENDS:</w:t>
      </w:r>
    </w:p>
    <w:p>
      <w:pPr>
        <w:pStyle w:val="BodyText"/>
        <w:rPr>
          <w:sz w:val="24"/>
        </w:rPr>
      </w:pPr>
    </w:p>
    <w:p>
      <w:pPr>
        <w:pStyle w:val="BodyText"/>
        <w:spacing w:before="7"/>
        <w:rPr>
          <w:sz w:val="21"/>
        </w:rPr>
      </w:pPr>
    </w:p>
    <w:p>
      <w:pPr>
        <w:pStyle w:val="ListParagraph"/>
        <w:numPr>
          <w:ilvl w:val="0"/>
          <w:numId w:val="1"/>
        </w:numPr>
        <w:tabs>
          <w:tab w:pos="1184" w:val="left" w:leader="none"/>
        </w:tabs>
        <w:spacing w:line="369" w:lineRule="auto" w:before="1" w:after="0"/>
        <w:ind w:left="1183" w:right="146" w:hanging="336"/>
        <w:jc w:val="both"/>
        <w:rPr>
          <w:b/>
          <w:sz w:val="22"/>
        </w:rPr>
      </w:pPr>
      <w:r>
        <w:rPr>
          <w:b/>
          <w:sz w:val="22"/>
        </w:rPr>
        <w:t>A co-ordinated and collective stand towards the capital exporting countries</w:t>
      </w:r>
      <w:r>
        <w:rPr>
          <w:b/>
          <w:spacing w:val="80"/>
          <w:sz w:val="22"/>
        </w:rPr>
        <w:t> </w:t>
      </w:r>
      <w:r>
        <w:rPr>
          <w:b/>
          <w:sz w:val="22"/>
        </w:rPr>
        <w:t>and the aid-giving international organs such as the International Bank for Reconstruction and Development and its affiliates and the UNDP (Special Fund) with a view to bettering our bargaining position vis-à-vis these organs, thereby enhancing the flow of more financial resources into the continent and influencing favourably our borrowing terms in the way of no longer maturity dates and lower interest rates;</w:t>
      </w:r>
    </w:p>
    <w:p>
      <w:pPr>
        <w:pStyle w:val="BodyText"/>
        <w:spacing w:before="8"/>
        <w:rPr>
          <w:sz w:val="33"/>
        </w:rPr>
      </w:pPr>
    </w:p>
    <w:p>
      <w:pPr>
        <w:pStyle w:val="ListParagraph"/>
        <w:numPr>
          <w:ilvl w:val="0"/>
          <w:numId w:val="1"/>
        </w:numPr>
        <w:tabs>
          <w:tab w:pos="1184" w:val="left" w:leader="none"/>
        </w:tabs>
        <w:spacing w:line="369" w:lineRule="auto" w:before="0" w:after="0"/>
        <w:ind w:left="1184" w:right="175" w:hanging="336"/>
        <w:jc w:val="both"/>
        <w:rPr>
          <w:b/>
          <w:sz w:val="22"/>
        </w:rPr>
      </w:pPr>
      <w:r>
        <w:rPr>
          <w:b/>
          <w:sz w:val="22"/>
        </w:rPr>
        <w:t>Market integration whether by way of common markets or through bilateral </w:t>
      </w:r>
      <w:r>
        <w:rPr>
          <w:b/>
          <w:spacing w:val="-2"/>
          <w:sz w:val="22"/>
        </w:rPr>
        <w:t>agreements;</w:t>
      </w:r>
    </w:p>
    <w:p>
      <w:pPr>
        <w:pStyle w:val="BodyText"/>
        <w:spacing w:before="1"/>
        <w:rPr>
          <w:sz w:val="34"/>
        </w:rPr>
      </w:pPr>
    </w:p>
    <w:p>
      <w:pPr>
        <w:pStyle w:val="ListParagraph"/>
        <w:numPr>
          <w:ilvl w:val="0"/>
          <w:numId w:val="1"/>
        </w:numPr>
        <w:tabs>
          <w:tab w:pos="1184" w:val="left" w:leader="none"/>
        </w:tabs>
        <w:spacing w:line="367" w:lineRule="auto" w:before="0" w:after="0"/>
        <w:ind w:left="1184" w:right="156" w:hanging="336"/>
        <w:jc w:val="both"/>
        <w:rPr>
          <w:b/>
          <w:sz w:val="22"/>
        </w:rPr>
      </w:pPr>
      <w:r>
        <w:rPr>
          <w:b/>
          <w:sz w:val="22"/>
        </w:rPr>
        <w:t>The maximum utilization of the African Development Bank and the new UN Organ, namely the United Nations Industrial Development Organization (UNIDO),</w:t>
      </w:r>
      <w:r>
        <w:rPr>
          <w:b/>
          <w:spacing w:val="26"/>
          <w:sz w:val="22"/>
        </w:rPr>
        <w:t> </w:t>
      </w:r>
      <w:r>
        <w:rPr>
          <w:b/>
          <w:sz w:val="22"/>
        </w:rPr>
        <w:t>and</w:t>
      </w:r>
      <w:r>
        <w:rPr>
          <w:b/>
          <w:spacing w:val="23"/>
          <w:sz w:val="22"/>
        </w:rPr>
        <w:t> </w:t>
      </w:r>
      <w:r>
        <w:rPr>
          <w:b/>
          <w:sz w:val="22"/>
        </w:rPr>
        <w:t>the</w:t>
      </w:r>
      <w:r>
        <w:rPr>
          <w:b/>
          <w:spacing w:val="24"/>
          <w:sz w:val="22"/>
        </w:rPr>
        <w:t> </w:t>
      </w:r>
      <w:r>
        <w:rPr>
          <w:b/>
          <w:sz w:val="22"/>
        </w:rPr>
        <w:t>participation</w:t>
      </w:r>
      <w:r>
        <w:rPr>
          <w:b/>
          <w:spacing w:val="24"/>
          <w:sz w:val="22"/>
        </w:rPr>
        <w:t> </w:t>
      </w:r>
      <w:r>
        <w:rPr>
          <w:b/>
          <w:sz w:val="22"/>
        </w:rPr>
        <w:t>of</w:t>
      </w:r>
      <w:r>
        <w:rPr>
          <w:b/>
          <w:spacing w:val="24"/>
          <w:sz w:val="22"/>
        </w:rPr>
        <w:t> </w:t>
      </w:r>
      <w:r>
        <w:rPr>
          <w:b/>
          <w:sz w:val="22"/>
        </w:rPr>
        <w:t>all</w:t>
      </w:r>
      <w:r>
        <w:rPr>
          <w:b/>
          <w:spacing w:val="23"/>
          <w:sz w:val="22"/>
        </w:rPr>
        <w:t> </w:t>
      </w:r>
      <w:r>
        <w:rPr>
          <w:b/>
          <w:sz w:val="22"/>
        </w:rPr>
        <w:t>Member</w:t>
      </w:r>
      <w:r>
        <w:rPr>
          <w:b/>
          <w:spacing w:val="24"/>
          <w:sz w:val="22"/>
        </w:rPr>
        <w:t> </w:t>
      </w:r>
      <w:r>
        <w:rPr>
          <w:b/>
          <w:sz w:val="22"/>
        </w:rPr>
        <w:t>States</w:t>
      </w:r>
      <w:r>
        <w:rPr>
          <w:b/>
          <w:spacing w:val="24"/>
          <w:sz w:val="22"/>
        </w:rPr>
        <w:t> </w:t>
      </w:r>
      <w:r>
        <w:rPr>
          <w:b/>
          <w:sz w:val="22"/>
        </w:rPr>
        <w:t>and</w:t>
      </w:r>
      <w:r>
        <w:rPr>
          <w:b/>
          <w:spacing w:val="23"/>
          <w:sz w:val="22"/>
        </w:rPr>
        <w:t> </w:t>
      </w:r>
      <w:r>
        <w:rPr>
          <w:b/>
          <w:sz w:val="22"/>
        </w:rPr>
        <w:t>the</w:t>
      </w:r>
      <w:r>
        <w:rPr>
          <w:b/>
          <w:spacing w:val="24"/>
          <w:sz w:val="22"/>
        </w:rPr>
        <w:t> </w:t>
      </w:r>
      <w:r>
        <w:rPr>
          <w:b/>
          <w:sz w:val="22"/>
        </w:rPr>
        <w:t>Secretariats</w:t>
      </w:r>
      <w:r>
        <w:rPr>
          <w:b/>
          <w:spacing w:val="24"/>
          <w:sz w:val="22"/>
        </w:rPr>
        <w:t> </w:t>
      </w:r>
      <w:r>
        <w:rPr>
          <w:b/>
          <w:sz w:val="22"/>
        </w:rPr>
        <w:t>of</w:t>
      </w:r>
    </w:p>
    <w:p>
      <w:pPr>
        <w:spacing w:after="0" w:line="367" w:lineRule="auto"/>
        <w:jc w:val="both"/>
        <w:rPr>
          <w:sz w:val="22"/>
        </w:rPr>
        <w:sectPr>
          <w:headerReference w:type="default" r:id="rId5"/>
          <w:type w:val="continuous"/>
          <w:pgSz w:w="12240" w:h="15840"/>
          <w:pgMar w:header="706" w:footer="0" w:top="1260" w:bottom="280" w:left="1720" w:right="1720"/>
          <w:pgNumType w:start="1"/>
        </w:sectPr>
      </w:pPr>
    </w:p>
    <w:p>
      <w:pPr>
        <w:pStyle w:val="BodyText"/>
        <w:spacing w:line="369" w:lineRule="auto" w:before="85"/>
        <w:ind w:left="1184" w:hanging="1"/>
      </w:pPr>
      <w:r>
        <w:rPr/>
        <w:t>which</w:t>
      </w:r>
      <w:r>
        <w:rPr>
          <w:spacing w:val="40"/>
        </w:rPr>
        <w:t> </w:t>
      </w:r>
      <w:r>
        <w:rPr/>
        <w:t>will</w:t>
      </w:r>
      <w:r>
        <w:rPr>
          <w:spacing w:val="39"/>
        </w:rPr>
        <w:t> </w:t>
      </w:r>
      <w:r>
        <w:rPr/>
        <w:t>be</w:t>
      </w:r>
      <w:r>
        <w:rPr>
          <w:spacing w:val="39"/>
        </w:rPr>
        <w:t> </w:t>
      </w:r>
      <w:r>
        <w:rPr/>
        <w:t>convened</w:t>
      </w:r>
      <w:r>
        <w:rPr>
          <w:spacing w:val="39"/>
        </w:rPr>
        <w:t> </w:t>
      </w:r>
      <w:r>
        <w:rPr/>
        <w:t>by</w:t>
      </w:r>
      <w:r>
        <w:rPr>
          <w:spacing w:val="39"/>
        </w:rPr>
        <w:t> </w:t>
      </w:r>
      <w:r>
        <w:rPr/>
        <w:t>the</w:t>
      </w:r>
      <w:r>
        <w:rPr>
          <w:spacing w:val="39"/>
        </w:rPr>
        <w:t> </w:t>
      </w:r>
      <w:r>
        <w:rPr/>
        <w:t>UNIDO</w:t>
      </w:r>
      <w:r>
        <w:rPr>
          <w:spacing w:val="40"/>
        </w:rPr>
        <w:t> </w:t>
      </w:r>
      <w:r>
        <w:rPr/>
        <w:t>from</w:t>
      </w:r>
      <w:r>
        <w:rPr>
          <w:spacing w:val="39"/>
        </w:rPr>
        <w:t> </w:t>
      </w:r>
      <w:r>
        <w:rPr/>
        <w:t>29</w:t>
      </w:r>
      <w:r>
        <w:rPr>
          <w:spacing w:val="40"/>
        </w:rPr>
        <w:t> </w:t>
      </w:r>
      <w:r>
        <w:rPr/>
        <w:t>November</w:t>
      </w:r>
      <w:r>
        <w:rPr>
          <w:spacing w:val="39"/>
        </w:rPr>
        <w:t> </w:t>
      </w:r>
      <w:r>
        <w:rPr/>
        <w:t>to</w:t>
      </w:r>
      <w:r>
        <w:rPr>
          <w:spacing w:val="40"/>
        </w:rPr>
        <w:t> </w:t>
      </w:r>
      <w:r>
        <w:rPr/>
        <w:t>19</w:t>
      </w:r>
      <w:r>
        <w:rPr>
          <w:spacing w:val="40"/>
        </w:rPr>
        <w:t> </w:t>
      </w:r>
      <w:r>
        <w:rPr/>
        <w:t>December 1967 at Athens, Greece.</w:t>
      </w:r>
    </w:p>
    <w:sectPr>
      <w:headerReference w:type="default" r:id="rId6"/>
      <w:pgSz w:w="12240" w:h="15840"/>
      <w:pgMar w:header="706"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18"/>
                  </w:rPr>
                  <w:t> </w:t>
                </w:r>
                <w:r>
                  <w:rPr>
                    <w:spacing w:val="-2"/>
                  </w:rPr>
                  <w:t>124(IX)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44.199997pt;margin-top:34.308243pt;width:375.45pt;height:27.25pt;mso-position-horizontal-relative:page;mso-position-vertical-relative:page;z-index:-15759872" type="#_x0000_t202" id="docshape2" filled="false" stroked="false">
          <v:textbox inset="0,0,0,0">
            <w:txbxContent>
              <w:p>
                <w:pPr>
                  <w:pStyle w:val="BodyText"/>
                  <w:spacing w:before="15"/>
                  <w:ind w:right="18"/>
                  <w:jc w:val="right"/>
                </w:pPr>
                <w:r>
                  <w:rPr/>
                  <w:t>CM/Res.</w:t>
                </w:r>
                <w:r>
                  <w:rPr>
                    <w:spacing w:val="18"/>
                  </w:rPr>
                  <w:t> </w:t>
                </w:r>
                <w:r>
                  <w:rPr>
                    <w:spacing w:val="-2"/>
                  </w:rPr>
                  <w:t>124(IX)</w:t>
                </w:r>
              </w:p>
              <w:p>
                <w:pPr>
                  <w:pStyle w:val="BodyText"/>
                  <w:spacing w:before="2"/>
                  <w:ind w:left="20"/>
                </w:pPr>
                <w:r>
                  <w:rPr/>
                  <w:t>both</w:t>
                </w:r>
                <w:r>
                  <w:rPr>
                    <w:spacing w:val="18"/>
                  </w:rPr>
                  <w:t> </w:t>
                </w:r>
                <w:r>
                  <w:rPr/>
                  <w:t>the</w:t>
                </w:r>
                <w:r>
                  <w:rPr>
                    <w:spacing w:val="19"/>
                  </w:rPr>
                  <w:t> </w:t>
                </w:r>
                <w:r>
                  <w:rPr/>
                  <w:t>ECA</w:t>
                </w:r>
                <w:r>
                  <w:rPr>
                    <w:spacing w:val="19"/>
                  </w:rPr>
                  <w:t> </w:t>
                </w:r>
                <w:r>
                  <w:rPr/>
                  <w:t>and</w:t>
                </w:r>
                <w:r>
                  <w:rPr>
                    <w:spacing w:val="19"/>
                  </w:rPr>
                  <w:t> </w:t>
                </w:r>
                <w:r>
                  <w:rPr/>
                  <w:t>the</w:t>
                </w:r>
                <w:r>
                  <w:rPr>
                    <w:spacing w:val="19"/>
                  </w:rPr>
                  <w:t> </w:t>
                </w:r>
                <w:r>
                  <w:rPr/>
                  <w:t>OAU</w:t>
                </w:r>
                <w:r>
                  <w:rPr>
                    <w:spacing w:val="19"/>
                  </w:rPr>
                  <w:t> </w:t>
                </w:r>
                <w:r>
                  <w:rPr/>
                  <w:t>in</w:t>
                </w:r>
                <w:r>
                  <w:rPr>
                    <w:spacing w:val="18"/>
                  </w:rPr>
                  <w:t> </w:t>
                </w:r>
                <w:r>
                  <w:rPr/>
                  <w:t>the</w:t>
                </w:r>
                <w:r>
                  <w:rPr>
                    <w:spacing w:val="19"/>
                  </w:rPr>
                  <w:t> </w:t>
                </w:r>
                <w:r>
                  <w:rPr/>
                  <w:t>forthcoming</w:t>
                </w:r>
                <w:r>
                  <w:rPr>
                    <w:spacing w:val="20"/>
                  </w:rPr>
                  <w:t> </w:t>
                </w:r>
                <w:r>
                  <w:rPr/>
                  <w:t>Seminar</w:t>
                </w:r>
                <w:r>
                  <w:rPr>
                    <w:spacing w:val="19"/>
                  </w:rPr>
                  <w:t> </w:t>
                </w:r>
                <w:r>
                  <w:rPr/>
                  <w:t>on</w:t>
                </w:r>
                <w:r>
                  <w:rPr>
                    <w:spacing w:val="19"/>
                  </w:rPr>
                  <w:t> </w:t>
                </w:r>
                <w:r>
                  <w:rPr>
                    <w:spacing w:val="-2"/>
                  </w:rPr>
                  <w:t>industrialization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bCs/>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4" w:right="146"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2023-06-06T12:57:13Z</dcterms:created>
  <dcterms:modified xsi:type="dcterms:W3CDTF">2023-06-06T12:57:13Z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