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Title"/>
        <w:rPr>
          <w:u w:val="none"/>
        </w:rPr>
      </w:pPr>
      <w:r>
        <w:rPr>
          <w:u w:val="single"/>
        </w:rPr>
        <w:t>RESOLUTION</w:t>
      </w:r>
      <w:r>
        <w:rPr>
          <w:spacing w:val="12"/>
          <w:u w:val="single"/>
        </w:rPr>
        <w:t> </w:t>
      </w:r>
      <w:r>
        <w:rPr>
          <w:u w:val="single"/>
        </w:rPr>
        <w:t>ON</w:t>
      </w:r>
      <w:r>
        <w:rPr>
          <w:spacing w:val="13"/>
          <w:u w:val="single"/>
        </w:rPr>
        <w:t> </w:t>
      </w:r>
      <w:r>
        <w:rPr>
          <w:u w:val="single"/>
        </w:rPr>
        <w:t>SOUTH</w:t>
      </w:r>
      <w:r>
        <w:rPr>
          <w:spacing w:val="15"/>
          <w:u w:val="single"/>
        </w:rPr>
        <w:t> </w:t>
      </w:r>
      <w:r>
        <w:rPr>
          <w:u w:val="single"/>
        </w:rPr>
        <w:t>WEST</w:t>
      </w:r>
      <w:r>
        <w:rPr>
          <w:spacing w:val="12"/>
          <w:u w:val="single"/>
        </w:rPr>
        <w:t> </w:t>
      </w:r>
      <w:r>
        <w:rPr>
          <w:spacing w:val="-2"/>
          <w:u w:val="single"/>
        </w:rPr>
        <w:t>AFRICA</w:t>
      </w:r>
    </w:p>
    <w:p>
      <w:pPr>
        <w:pStyle w:val="BodyText"/>
        <w:rPr>
          <w:b/>
          <w:sz w:val="20"/>
        </w:rPr>
      </w:pPr>
    </w:p>
    <w:p>
      <w:pPr>
        <w:pStyle w:val="BodyText"/>
        <w:spacing w:before="10"/>
        <w:rPr>
          <w:b/>
          <w:sz w:val="16"/>
        </w:rPr>
      </w:pPr>
    </w:p>
    <w:p>
      <w:pPr>
        <w:pStyle w:val="BodyText"/>
        <w:spacing w:line="364" w:lineRule="auto" w:before="96"/>
        <w:ind w:left="171" w:right="153" w:firstLine="676"/>
        <w:jc w:val="both"/>
      </w:pPr>
      <w:r>
        <w:rPr/>
        <w:t>The Council of Ministers of the Organization of African Unity, meeting in its Eight Ordinary Session in Addis Ababa, Ethiopia, from 27 February to 4 March 1967,</w:t>
      </w:r>
    </w:p>
    <w:p>
      <w:pPr>
        <w:pStyle w:val="BodyText"/>
        <w:spacing w:before="6"/>
        <w:rPr>
          <w:sz w:val="34"/>
        </w:rPr>
      </w:pPr>
    </w:p>
    <w:p>
      <w:pPr>
        <w:pStyle w:val="BodyText"/>
        <w:spacing w:line="369" w:lineRule="auto"/>
        <w:ind w:left="171" w:right="166" w:firstLine="676"/>
        <w:jc w:val="both"/>
      </w:pPr>
      <w:r>
        <w:rPr>
          <w:b/>
          <w:u w:val="single"/>
        </w:rPr>
        <w:t>Recalling</w:t>
      </w:r>
      <w:r>
        <w:rPr>
          <w:b/>
        </w:rPr>
        <w:t> </w:t>
      </w:r>
      <w:r>
        <w:rPr/>
        <w:t>its former resolution CM/Res. 87 of November 1966 on the question of</w:t>
      </w:r>
      <w:r>
        <w:rPr>
          <w:spacing w:val="80"/>
        </w:rPr>
        <w:t> </w:t>
      </w:r>
      <w:r>
        <w:rPr/>
        <w:t>South West Africa,</w:t>
      </w:r>
    </w:p>
    <w:p>
      <w:pPr>
        <w:pStyle w:val="BodyText"/>
        <w:spacing w:before="8"/>
        <w:rPr>
          <w:sz w:val="33"/>
        </w:rPr>
      </w:pPr>
    </w:p>
    <w:p>
      <w:pPr>
        <w:pStyle w:val="BodyText"/>
        <w:spacing w:line="369" w:lineRule="auto"/>
        <w:ind w:left="171" w:right="145" w:firstLine="676"/>
        <w:jc w:val="both"/>
      </w:pPr>
      <w:r>
        <w:rPr>
          <w:b/>
          <w:u w:val="single"/>
        </w:rPr>
        <w:t>Recalling further</w:t>
      </w:r>
      <w:r>
        <w:rPr>
          <w:b/>
        </w:rPr>
        <w:t> </w:t>
      </w:r>
      <w:r>
        <w:rPr/>
        <w:t>the General Assembly resolution 1514 (XV) of 14 December 1960 and resolution 2145 (XXI) of 27 October 1966 and in particular operative paragraph 4 and 6 terminating</w:t>
      </w:r>
      <w:r>
        <w:rPr>
          <w:spacing w:val="27"/>
        </w:rPr>
        <w:t> </w:t>
      </w:r>
      <w:r>
        <w:rPr/>
        <w:t>the</w:t>
      </w:r>
      <w:r>
        <w:rPr>
          <w:spacing w:val="27"/>
        </w:rPr>
        <w:t> </w:t>
      </w:r>
      <w:r>
        <w:rPr/>
        <w:t>mandate</w:t>
      </w:r>
      <w:r>
        <w:rPr>
          <w:spacing w:val="27"/>
        </w:rPr>
        <w:t> </w:t>
      </w:r>
      <w:r>
        <w:rPr/>
        <w:t>conferred</w:t>
      </w:r>
      <w:r>
        <w:rPr>
          <w:spacing w:val="28"/>
        </w:rPr>
        <w:t> </w:t>
      </w:r>
      <w:r>
        <w:rPr/>
        <w:t>upon</w:t>
      </w:r>
      <w:r>
        <w:rPr>
          <w:spacing w:val="27"/>
        </w:rPr>
        <w:t> </w:t>
      </w:r>
      <w:r>
        <w:rPr/>
        <w:t>His</w:t>
      </w:r>
      <w:r>
        <w:rPr>
          <w:spacing w:val="27"/>
        </w:rPr>
        <w:t> </w:t>
      </w:r>
      <w:r>
        <w:rPr/>
        <w:t>Britannic</w:t>
      </w:r>
      <w:r>
        <w:rPr>
          <w:spacing w:val="27"/>
        </w:rPr>
        <w:t> </w:t>
      </w:r>
      <w:r>
        <w:rPr/>
        <w:t>Majesty</w:t>
      </w:r>
      <w:r>
        <w:rPr>
          <w:spacing w:val="27"/>
        </w:rPr>
        <w:t> </w:t>
      </w:r>
      <w:r>
        <w:rPr/>
        <w:t>to</w:t>
      </w:r>
      <w:r>
        <w:rPr>
          <w:spacing w:val="28"/>
        </w:rPr>
        <w:t> </w:t>
      </w:r>
      <w:r>
        <w:rPr/>
        <w:t>be</w:t>
      </w:r>
      <w:r>
        <w:rPr>
          <w:spacing w:val="27"/>
        </w:rPr>
        <w:t> </w:t>
      </w:r>
      <w:r>
        <w:rPr/>
        <w:t>exercised</w:t>
      </w:r>
      <w:r>
        <w:rPr>
          <w:spacing w:val="23"/>
        </w:rPr>
        <w:t> </w:t>
      </w:r>
      <w:r>
        <w:rPr/>
        <w:t>on</w:t>
      </w:r>
      <w:r>
        <w:rPr>
          <w:spacing w:val="22"/>
        </w:rPr>
        <w:t> </w:t>
      </w:r>
      <w:r>
        <w:rPr/>
        <w:t>his</w:t>
      </w:r>
      <w:r>
        <w:rPr>
          <w:spacing w:val="22"/>
        </w:rPr>
        <w:t> </w:t>
      </w:r>
      <w:r>
        <w:rPr/>
        <w:t>behalf by the Government of South Africa in respect of South West Africa, and establishing an</w:t>
      </w:r>
      <w:r>
        <w:rPr>
          <w:spacing w:val="40"/>
        </w:rPr>
        <w:t> </w:t>
      </w:r>
      <w:r>
        <w:rPr>
          <w:u w:val="single"/>
        </w:rPr>
        <w:t>Ad</w:t>
      </w:r>
      <w:r>
        <w:rPr/>
        <w:t> </w:t>
      </w:r>
      <w:r>
        <w:rPr>
          <w:u w:val="single"/>
        </w:rPr>
        <w:t>Hoc</w:t>
      </w:r>
      <w:r>
        <w:rPr/>
        <w:t> Committee for South West African composed of fourteen Member States of the United </w:t>
      </w:r>
      <w:r>
        <w:rPr>
          <w:spacing w:val="-2"/>
        </w:rPr>
        <w:t>Nations.</w:t>
      </w:r>
    </w:p>
    <w:p>
      <w:pPr>
        <w:pStyle w:val="BodyText"/>
        <w:spacing w:before="5"/>
        <w:rPr>
          <w:sz w:val="33"/>
        </w:rPr>
      </w:pPr>
    </w:p>
    <w:p>
      <w:pPr>
        <w:pStyle w:val="ListParagraph"/>
        <w:numPr>
          <w:ilvl w:val="0"/>
          <w:numId w:val="1"/>
        </w:numPr>
        <w:tabs>
          <w:tab w:pos="1184" w:val="left" w:leader="none"/>
        </w:tabs>
        <w:spacing w:line="369" w:lineRule="auto" w:before="0" w:after="0"/>
        <w:ind w:left="1184" w:right="143" w:hanging="336"/>
        <w:jc w:val="both"/>
        <w:rPr>
          <w:sz w:val="22"/>
        </w:rPr>
      </w:pPr>
      <w:r>
        <w:rPr>
          <w:b/>
          <w:sz w:val="22"/>
        </w:rPr>
        <w:t>EXPRESSES</w:t>
      </w:r>
      <w:r>
        <w:rPr>
          <w:b/>
          <w:spacing w:val="40"/>
          <w:sz w:val="22"/>
        </w:rPr>
        <w:t> </w:t>
      </w:r>
      <w:r>
        <w:rPr>
          <w:sz w:val="22"/>
        </w:rPr>
        <w:t>is</w:t>
      </w:r>
      <w:r>
        <w:rPr>
          <w:spacing w:val="40"/>
          <w:sz w:val="22"/>
        </w:rPr>
        <w:t> </w:t>
      </w:r>
      <w:r>
        <w:rPr>
          <w:sz w:val="22"/>
        </w:rPr>
        <w:t>satisfaction</w:t>
      </w:r>
      <w:r>
        <w:rPr>
          <w:spacing w:val="40"/>
          <w:sz w:val="22"/>
        </w:rPr>
        <w:t> </w:t>
      </w:r>
      <w:r>
        <w:rPr>
          <w:sz w:val="22"/>
        </w:rPr>
        <w:t>at</w:t>
      </w:r>
      <w:r>
        <w:rPr>
          <w:spacing w:val="40"/>
          <w:sz w:val="22"/>
        </w:rPr>
        <w:t> </w:t>
      </w:r>
      <w:r>
        <w:rPr>
          <w:sz w:val="22"/>
        </w:rPr>
        <w:t>the</w:t>
      </w:r>
      <w:r>
        <w:rPr>
          <w:spacing w:val="40"/>
          <w:sz w:val="22"/>
        </w:rPr>
        <w:t> </w:t>
      </w:r>
      <w:r>
        <w:rPr>
          <w:sz w:val="22"/>
        </w:rPr>
        <w:t>decision</w:t>
      </w:r>
      <w:r>
        <w:rPr>
          <w:spacing w:val="40"/>
          <w:sz w:val="22"/>
        </w:rPr>
        <w:t> </w:t>
      </w:r>
      <w:r>
        <w:rPr>
          <w:sz w:val="22"/>
        </w:rPr>
        <w:t>of</w:t>
      </w:r>
      <w:r>
        <w:rPr>
          <w:spacing w:val="40"/>
          <w:sz w:val="22"/>
        </w:rPr>
        <w:t> </w:t>
      </w:r>
      <w:r>
        <w:rPr>
          <w:sz w:val="22"/>
        </w:rPr>
        <w:t>the</w:t>
      </w:r>
      <w:r>
        <w:rPr>
          <w:spacing w:val="40"/>
          <w:sz w:val="22"/>
        </w:rPr>
        <w:t> </w:t>
      </w:r>
      <w:r>
        <w:rPr>
          <w:sz w:val="22"/>
        </w:rPr>
        <w:t>United</w:t>
      </w:r>
      <w:r>
        <w:rPr>
          <w:spacing w:val="40"/>
          <w:sz w:val="22"/>
        </w:rPr>
        <w:t> </w:t>
      </w:r>
      <w:r>
        <w:rPr>
          <w:sz w:val="22"/>
        </w:rPr>
        <w:t>Nations</w:t>
      </w:r>
      <w:r>
        <w:rPr>
          <w:spacing w:val="40"/>
          <w:sz w:val="22"/>
        </w:rPr>
        <w:t> </w:t>
      </w:r>
      <w:r>
        <w:rPr>
          <w:sz w:val="22"/>
        </w:rPr>
        <w:t>which terminated</w:t>
      </w:r>
      <w:r>
        <w:rPr>
          <w:spacing w:val="39"/>
          <w:sz w:val="22"/>
        </w:rPr>
        <w:t> </w:t>
      </w:r>
      <w:r>
        <w:rPr>
          <w:sz w:val="22"/>
        </w:rPr>
        <w:t>the</w:t>
      </w:r>
      <w:r>
        <w:rPr>
          <w:spacing w:val="38"/>
          <w:sz w:val="22"/>
        </w:rPr>
        <w:t> </w:t>
      </w:r>
      <w:r>
        <w:rPr>
          <w:sz w:val="22"/>
        </w:rPr>
        <w:t>mandate</w:t>
      </w:r>
      <w:r>
        <w:rPr>
          <w:spacing w:val="38"/>
          <w:sz w:val="22"/>
        </w:rPr>
        <w:t> </w:t>
      </w:r>
      <w:r>
        <w:rPr>
          <w:sz w:val="22"/>
        </w:rPr>
        <w:t>of</w:t>
      </w:r>
      <w:r>
        <w:rPr>
          <w:spacing w:val="38"/>
          <w:sz w:val="22"/>
        </w:rPr>
        <w:t> </w:t>
      </w:r>
      <w:r>
        <w:rPr>
          <w:sz w:val="22"/>
        </w:rPr>
        <w:t>South</w:t>
      </w:r>
      <w:r>
        <w:rPr>
          <w:spacing w:val="38"/>
          <w:sz w:val="22"/>
        </w:rPr>
        <w:t> </w:t>
      </w:r>
      <w:r>
        <w:rPr>
          <w:sz w:val="22"/>
        </w:rPr>
        <w:t>Africa</w:t>
      </w:r>
      <w:r>
        <w:rPr>
          <w:spacing w:val="38"/>
          <w:sz w:val="22"/>
        </w:rPr>
        <w:t> </w:t>
      </w:r>
      <w:r>
        <w:rPr>
          <w:sz w:val="22"/>
        </w:rPr>
        <w:t>over</w:t>
      </w:r>
      <w:r>
        <w:rPr>
          <w:spacing w:val="39"/>
          <w:sz w:val="22"/>
        </w:rPr>
        <w:t> </w:t>
      </w:r>
      <w:r>
        <w:rPr>
          <w:sz w:val="22"/>
        </w:rPr>
        <w:t>the</w:t>
      </w:r>
      <w:r>
        <w:rPr>
          <w:spacing w:val="38"/>
          <w:sz w:val="22"/>
        </w:rPr>
        <w:t> </w:t>
      </w:r>
      <w:r>
        <w:rPr>
          <w:sz w:val="22"/>
        </w:rPr>
        <w:t>territory</w:t>
      </w:r>
      <w:r>
        <w:rPr>
          <w:spacing w:val="38"/>
          <w:sz w:val="22"/>
        </w:rPr>
        <w:t> </w:t>
      </w:r>
      <w:r>
        <w:rPr>
          <w:sz w:val="22"/>
        </w:rPr>
        <w:t>of</w:t>
      </w:r>
      <w:r>
        <w:rPr>
          <w:spacing w:val="38"/>
          <w:sz w:val="22"/>
        </w:rPr>
        <w:t> </w:t>
      </w:r>
      <w:r>
        <w:rPr>
          <w:sz w:val="22"/>
        </w:rPr>
        <w:t>South</w:t>
      </w:r>
      <w:r>
        <w:rPr>
          <w:spacing w:val="38"/>
          <w:sz w:val="22"/>
        </w:rPr>
        <w:t> </w:t>
      </w:r>
      <w:r>
        <w:rPr>
          <w:sz w:val="22"/>
        </w:rPr>
        <w:t>West</w:t>
      </w:r>
      <w:r>
        <w:rPr>
          <w:spacing w:val="38"/>
          <w:sz w:val="22"/>
        </w:rPr>
        <w:t> </w:t>
      </w:r>
      <w:r>
        <w:rPr>
          <w:sz w:val="22"/>
        </w:rPr>
        <w:t>Africa and</w:t>
      </w:r>
      <w:r>
        <w:rPr>
          <w:spacing w:val="40"/>
          <w:sz w:val="22"/>
        </w:rPr>
        <w:t> </w:t>
      </w:r>
      <w:r>
        <w:rPr>
          <w:sz w:val="22"/>
        </w:rPr>
        <w:t>established</w:t>
      </w:r>
      <w:r>
        <w:rPr>
          <w:spacing w:val="60"/>
          <w:sz w:val="22"/>
        </w:rPr>
        <w:t> </w:t>
      </w:r>
      <w:r>
        <w:rPr>
          <w:sz w:val="22"/>
          <w:u w:val="single"/>
        </w:rPr>
        <w:t>Ad</w:t>
      </w:r>
      <w:r>
        <w:rPr>
          <w:spacing w:val="40"/>
          <w:sz w:val="22"/>
          <w:u w:val="single"/>
        </w:rPr>
        <w:t> </w:t>
      </w:r>
      <w:r>
        <w:rPr>
          <w:sz w:val="22"/>
          <w:u w:val="single"/>
        </w:rPr>
        <w:t>Hoc</w:t>
      </w:r>
      <w:r>
        <w:rPr>
          <w:spacing w:val="40"/>
          <w:sz w:val="22"/>
        </w:rPr>
        <w:t> </w:t>
      </w:r>
      <w:r>
        <w:rPr>
          <w:sz w:val="22"/>
        </w:rPr>
        <w:t>Committee</w:t>
      </w:r>
      <w:r>
        <w:rPr>
          <w:spacing w:val="40"/>
          <w:sz w:val="22"/>
        </w:rPr>
        <w:t> </w:t>
      </w:r>
      <w:r>
        <w:rPr>
          <w:sz w:val="22"/>
        </w:rPr>
        <w:t>of</w:t>
      </w:r>
      <w:r>
        <w:rPr>
          <w:spacing w:val="40"/>
          <w:sz w:val="22"/>
        </w:rPr>
        <w:t> </w:t>
      </w:r>
      <w:r>
        <w:rPr>
          <w:sz w:val="22"/>
        </w:rPr>
        <w:t>Member</w:t>
      </w:r>
      <w:r>
        <w:rPr>
          <w:spacing w:val="40"/>
          <w:sz w:val="22"/>
        </w:rPr>
        <w:t> </w:t>
      </w:r>
      <w:r>
        <w:rPr>
          <w:sz w:val="22"/>
        </w:rPr>
        <w:t>States</w:t>
      </w:r>
      <w:r>
        <w:rPr>
          <w:spacing w:val="40"/>
          <w:sz w:val="22"/>
        </w:rPr>
        <w:t> </w:t>
      </w:r>
      <w:r>
        <w:rPr>
          <w:sz w:val="22"/>
        </w:rPr>
        <w:t>to</w:t>
      </w:r>
      <w:r>
        <w:rPr>
          <w:spacing w:val="40"/>
          <w:sz w:val="22"/>
        </w:rPr>
        <w:t> </w:t>
      </w:r>
      <w:r>
        <w:rPr>
          <w:sz w:val="22"/>
        </w:rPr>
        <w:t>study</w:t>
      </w:r>
      <w:r>
        <w:rPr>
          <w:spacing w:val="40"/>
          <w:sz w:val="22"/>
        </w:rPr>
        <w:t> </w:t>
      </w:r>
      <w:r>
        <w:rPr>
          <w:sz w:val="22"/>
        </w:rPr>
        <w:t>the</w:t>
      </w:r>
      <w:r>
        <w:rPr>
          <w:spacing w:val="40"/>
          <w:sz w:val="22"/>
        </w:rPr>
        <w:t> </w:t>
      </w:r>
      <w:r>
        <w:rPr>
          <w:sz w:val="22"/>
        </w:rPr>
        <w:t>ways</w:t>
      </w:r>
      <w:r>
        <w:rPr>
          <w:spacing w:val="40"/>
          <w:sz w:val="22"/>
        </w:rPr>
        <w:t> </w:t>
      </w:r>
      <w:r>
        <w:rPr>
          <w:sz w:val="22"/>
        </w:rPr>
        <w:t>and means of administering the territory;</w:t>
      </w:r>
    </w:p>
    <w:p>
      <w:pPr>
        <w:pStyle w:val="BodyText"/>
        <w:spacing w:before="11"/>
        <w:rPr>
          <w:sz w:val="33"/>
        </w:rPr>
      </w:pPr>
    </w:p>
    <w:p>
      <w:pPr>
        <w:pStyle w:val="ListParagraph"/>
        <w:numPr>
          <w:ilvl w:val="0"/>
          <w:numId w:val="1"/>
        </w:numPr>
        <w:tabs>
          <w:tab w:pos="1184" w:val="left" w:leader="none"/>
        </w:tabs>
        <w:spacing w:line="369" w:lineRule="auto" w:before="0" w:after="0"/>
        <w:ind w:left="1183" w:right="146" w:hanging="336"/>
        <w:jc w:val="both"/>
        <w:rPr>
          <w:sz w:val="22"/>
        </w:rPr>
      </w:pPr>
      <w:r>
        <w:rPr>
          <w:b/>
          <w:sz w:val="22"/>
        </w:rPr>
        <w:t>ENCOURAGES</w:t>
      </w:r>
      <w:r>
        <w:rPr>
          <w:b/>
          <w:spacing w:val="40"/>
          <w:sz w:val="22"/>
        </w:rPr>
        <w:t> </w:t>
      </w:r>
      <w:r>
        <w:rPr>
          <w:sz w:val="22"/>
        </w:rPr>
        <w:t>the</w:t>
      </w:r>
      <w:r>
        <w:rPr>
          <w:spacing w:val="40"/>
          <w:sz w:val="22"/>
        </w:rPr>
        <w:t> </w:t>
      </w:r>
      <w:r>
        <w:rPr>
          <w:sz w:val="22"/>
        </w:rPr>
        <w:t>Members</w:t>
      </w:r>
      <w:r>
        <w:rPr>
          <w:spacing w:val="40"/>
          <w:sz w:val="22"/>
        </w:rPr>
        <w:t> </w:t>
      </w:r>
      <w:r>
        <w:rPr>
          <w:sz w:val="22"/>
        </w:rPr>
        <w:t>of</w:t>
      </w:r>
      <w:r>
        <w:rPr>
          <w:spacing w:val="40"/>
          <w:sz w:val="22"/>
        </w:rPr>
        <w:t> </w:t>
      </w:r>
      <w:r>
        <w:rPr>
          <w:sz w:val="22"/>
        </w:rPr>
        <w:t>the</w:t>
      </w:r>
      <w:r>
        <w:rPr>
          <w:spacing w:val="40"/>
          <w:sz w:val="22"/>
        </w:rPr>
        <w:t> </w:t>
      </w:r>
      <w:r>
        <w:rPr>
          <w:sz w:val="22"/>
        </w:rPr>
        <w:t>United</w:t>
      </w:r>
      <w:r>
        <w:rPr>
          <w:spacing w:val="40"/>
          <w:sz w:val="22"/>
        </w:rPr>
        <w:t> </w:t>
      </w:r>
      <w:r>
        <w:rPr>
          <w:sz w:val="22"/>
        </w:rPr>
        <w:t>Nations</w:t>
      </w:r>
      <w:r>
        <w:rPr>
          <w:spacing w:val="57"/>
          <w:sz w:val="22"/>
        </w:rPr>
        <w:t> </w:t>
      </w:r>
      <w:r>
        <w:rPr>
          <w:sz w:val="22"/>
          <w:u w:val="single"/>
        </w:rPr>
        <w:t>Ad</w:t>
      </w:r>
      <w:r>
        <w:rPr>
          <w:spacing w:val="40"/>
          <w:sz w:val="22"/>
          <w:u w:val="single"/>
        </w:rPr>
        <w:t> </w:t>
      </w:r>
      <w:r>
        <w:rPr>
          <w:sz w:val="22"/>
          <w:u w:val="single"/>
        </w:rPr>
        <w:t>Hoc</w:t>
      </w:r>
      <w:r>
        <w:rPr>
          <w:spacing w:val="40"/>
          <w:sz w:val="22"/>
        </w:rPr>
        <w:t> </w:t>
      </w:r>
      <w:r>
        <w:rPr>
          <w:sz w:val="22"/>
        </w:rPr>
        <w:t>Committee</w:t>
      </w:r>
      <w:r>
        <w:rPr>
          <w:spacing w:val="40"/>
          <w:sz w:val="22"/>
        </w:rPr>
        <w:t> </w:t>
      </w:r>
      <w:r>
        <w:rPr>
          <w:sz w:val="22"/>
        </w:rPr>
        <w:t>for South West Africa in their efforts which will enable the people of South West</w:t>
      </w:r>
      <w:r>
        <w:rPr>
          <w:spacing w:val="80"/>
          <w:sz w:val="22"/>
        </w:rPr>
        <w:t> </w:t>
      </w:r>
      <w:r>
        <w:rPr>
          <w:sz w:val="22"/>
        </w:rPr>
        <w:t>Africa to exercise their right to self-determination and to achieve independence;</w:t>
      </w:r>
    </w:p>
    <w:p>
      <w:pPr>
        <w:pStyle w:val="BodyText"/>
        <w:rPr>
          <w:sz w:val="34"/>
        </w:rPr>
      </w:pPr>
    </w:p>
    <w:p>
      <w:pPr>
        <w:pStyle w:val="ListParagraph"/>
        <w:numPr>
          <w:ilvl w:val="0"/>
          <w:numId w:val="1"/>
        </w:numPr>
        <w:tabs>
          <w:tab w:pos="1184" w:val="left" w:leader="none"/>
        </w:tabs>
        <w:spacing w:line="367" w:lineRule="auto" w:before="0" w:after="0"/>
        <w:ind w:left="1183" w:right="145" w:hanging="336"/>
        <w:jc w:val="both"/>
        <w:rPr>
          <w:sz w:val="22"/>
        </w:rPr>
      </w:pPr>
      <w:r>
        <w:rPr>
          <w:b/>
          <w:sz w:val="22"/>
        </w:rPr>
        <w:t>APPROVES</w:t>
      </w:r>
      <w:r>
        <w:rPr>
          <w:b/>
          <w:spacing w:val="39"/>
          <w:sz w:val="22"/>
        </w:rPr>
        <w:t> </w:t>
      </w:r>
      <w:r>
        <w:rPr>
          <w:b/>
          <w:sz w:val="22"/>
        </w:rPr>
        <w:t>AND</w:t>
      </w:r>
      <w:r>
        <w:rPr>
          <w:b/>
          <w:spacing w:val="39"/>
          <w:sz w:val="22"/>
        </w:rPr>
        <w:t> </w:t>
      </w:r>
      <w:r>
        <w:rPr>
          <w:b/>
          <w:sz w:val="22"/>
        </w:rPr>
        <w:t>SUPPORTS</w:t>
      </w:r>
      <w:r>
        <w:rPr>
          <w:b/>
          <w:spacing w:val="40"/>
          <w:sz w:val="22"/>
        </w:rPr>
        <w:t> </w:t>
      </w:r>
      <w:r>
        <w:rPr>
          <w:sz w:val="22"/>
        </w:rPr>
        <w:t>fully</w:t>
      </w:r>
      <w:r>
        <w:rPr>
          <w:spacing w:val="38"/>
          <w:sz w:val="22"/>
        </w:rPr>
        <w:t> </w:t>
      </w:r>
      <w:r>
        <w:rPr>
          <w:sz w:val="22"/>
        </w:rPr>
        <w:t>the</w:t>
      </w:r>
      <w:r>
        <w:rPr>
          <w:spacing w:val="38"/>
          <w:sz w:val="22"/>
        </w:rPr>
        <w:t> </w:t>
      </w:r>
      <w:r>
        <w:rPr>
          <w:sz w:val="22"/>
        </w:rPr>
        <w:t>memorandum</w:t>
      </w:r>
      <w:r>
        <w:rPr>
          <w:spacing w:val="39"/>
          <w:sz w:val="22"/>
        </w:rPr>
        <w:t> </w:t>
      </w:r>
      <w:r>
        <w:rPr>
          <w:sz w:val="22"/>
        </w:rPr>
        <w:t>concerning</w:t>
      </w:r>
      <w:r>
        <w:rPr>
          <w:spacing w:val="38"/>
          <w:sz w:val="22"/>
        </w:rPr>
        <w:t> </w:t>
      </w:r>
      <w:r>
        <w:rPr>
          <w:sz w:val="22"/>
        </w:rPr>
        <w:t>the</w:t>
      </w:r>
      <w:r>
        <w:rPr>
          <w:spacing w:val="38"/>
          <w:sz w:val="22"/>
        </w:rPr>
        <w:t> </w:t>
      </w:r>
      <w:r>
        <w:rPr>
          <w:sz w:val="22"/>
        </w:rPr>
        <w:t>creation of a machinery of South West Africa presented on 10 February 1967 by Ethiopia, Nigeria, Senegal and the United Arab Republic, the African members of the</w:t>
      </w:r>
      <w:r>
        <w:rPr>
          <w:spacing w:val="43"/>
          <w:sz w:val="22"/>
        </w:rPr>
        <w:t> </w:t>
      </w:r>
      <w:r>
        <w:rPr>
          <w:sz w:val="22"/>
          <w:u w:val="single"/>
        </w:rPr>
        <w:t>Ad</w:t>
      </w:r>
      <w:r>
        <w:rPr>
          <w:spacing w:val="40"/>
          <w:w w:val="102"/>
          <w:sz w:val="22"/>
        </w:rPr>
        <w:t> </w:t>
      </w:r>
      <w:r>
        <w:rPr>
          <w:sz w:val="22"/>
          <w:u w:val="single"/>
        </w:rPr>
        <w:t>Hoc</w:t>
      </w:r>
      <w:r>
        <w:rPr>
          <w:sz w:val="22"/>
        </w:rPr>
        <w:t> Committee on South West Africa;</w:t>
      </w:r>
    </w:p>
    <w:p>
      <w:pPr>
        <w:pStyle w:val="BodyText"/>
        <w:spacing w:before="5"/>
        <w:rPr>
          <w:sz w:val="34"/>
        </w:rPr>
      </w:pPr>
    </w:p>
    <w:p>
      <w:pPr>
        <w:pStyle w:val="ListParagraph"/>
        <w:numPr>
          <w:ilvl w:val="0"/>
          <w:numId w:val="1"/>
        </w:numPr>
        <w:tabs>
          <w:tab w:pos="1184" w:val="left" w:leader="none"/>
        </w:tabs>
        <w:spacing w:line="367" w:lineRule="auto" w:before="0" w:after="0"/>
        <w:ind w:left="1183" w:right="141" w:hanging="336"/>
        <w:jc w:val="both"/>
        <w:rPr>
          <w:sz w:val="22"/>
        </w:rPr>
      </w:pPr>
      <w:r>
        <w:rPr>
          <w:b/>
          <w:sz w:val="22"/>
        </w:rPr>
        <w:t>PLEDGES</w:t>
      </w:r>
      <w:r>
        <w:rPr>
          <w:b/>
          <w:spacing w:val="40"/>
          <w:sz w:val="22"/>
        </w:rPr>
        <w:t> </w:t>
      </w:r>
      <w:r>
        <w:rPr>
          <w:sz w:val="22"/>
        </w:rPr>
        <w:t>its support and requests the United Nations to take all necessary measures towards the achievement of self-determination and independence for the territory of South West Africa;</w:t>
      </w:r>
    </w:p>
    <w:p>
      <w:pPr>
        <w:spacing w:after="0" w:line="367" w:lineRule="auto"/>
        <w:jc w:val="both"/>
        <w:rPr>
          <w:sz w:val="22"/>
        </w:rPr>
        <w:sectPr>
          <w:headerReference w:type="default" r:id="rId5"/>
          <w:type w:val="continuous"/>
          <w:pgSz w:w="12240" w:h="15840"/>
          <w:pgMar w:header="701" w:footer="0" w:top="940" w:bottom="280" w:left="1720" w:right="1720"/>
          <w:pgNumType w:start="1"/>
        </w:sectPr>
      </w:pPr>
    </w:p>
    <w:p>
      <w:pPr>
        <w:pStyle w:val="ListParagraph"/>
        <w:numPr>
          <w:ilvl w:val="0"/>
          <w:numId w:val="1"/>
        </w:numPr>
        <w:tabs>
          <w:tab w:pos="1184" w:val="left" w:leader="none"/>
        </w:tabs>
        <w:spacing w:line="372" w:lineRule="auto" w:before="5" w:after="0"/>
        <w:ind w:left="1183" w:right="143" w:hanging="336"/>
        <w:jc w:val="both"/>
        <w:rPr>
          <w:sz w:val="22"/>
        </w:rPr>
      </w:pPr>
      <w:r>
        <w:rPr>
          <w:b/>
          <w:sz w:val="22"/>
        </w:rPr>
        <w:t>REQUESTS </w:t>
      </w:r>
      <w:r>
        <w:rPr>
          <w:sz w:val="22"/>
        </w:rPr>
        <w:t>the Security Council to apply Chapter VII of the United Nations Charter in the event of South Africa refusing to comply with the decision of the United Nations to hand over the administration of the territory;</w:t>
      </w:r>
    </w:p>
    <w:p>
      <w:pPr>
        <w:pStyle w:val="BodyText"/>
        <w:spacing w:before="10"/>
        <w:rPr>
          <w:sz w:val="32"/>
        </w:rPr>
      </w:pPr>
    </w:p>
    <w:p>
      <w:pPr>
        <w:pStyle w:val="ListParagraph"/>
        <w:numPr>
          <w:ilvl w:val="0"/>
          <w:numId w:val="1"/>
        </w:numPr>
        <w:tabs>
          <w:tab w:pos="1184" w:val="left" w:leader="none"/>
        </w:tabs>
        <w:spacing w:line="369" w:lineRule="auto" w:before="1" w:after="0"/>
        <w:ind w:left="1183" w:right="159" w:hanging="336"/>
        <w:jc w:val="both"/>
        <w:rPr>
          <w:sz w:val="22"/>
        </w:rPr>
      </w:pPr>
      <w:r>
        <w:rPr>
          <w:b/>
          <w:sz w:val="22"/>
        </w:rPr>
        <w:t>STRONGLY CONDEMNS </w:t>
      </w:r>
      <w:r>
        <w:rPr>
          <w:sz w:val="22"/>
        </w:rPr>
        <w:t>the Government of the Republic of South Africa for extending its oppressive policy to the territory of South West Africa and the activities of foreign financial and industrial interests whose continued commercial relations and</w:t>
      </w:r>
      <w:r>
        <w:rPr>
          <w:spacing w:val="22"/>
          <w:sz w:val="22"/>
        </w:rPr>
        <w:t> </w:t>
      </w:r>
      <w:r>
        <w:rPr>
          <w:sz w:val="22"/>
        </w:rPr>
        <w:t>investments in South Africa enable the Government of South Africa</w:t>
      </w:r>
      <w:r>
        <w:rPr>
          <w:spacing w:val="80"/>
          <w:sz w:val="22"/>
        </w:rPr>
        <w:t> </w:t>
      </w:r>
      <w:r>
        <w:rPr>
          <w:sz w:val="22"/>
        </w:rPr>
        <w:t>to persist in its policy of apartheid and racial discrimination;</w:t>
      </w:r>
    </w:p>
    <w:p>
      <w:pPr>
        <w:pStyle w:val="BodyText"/>
        <w:spacing w:before="10"/>
        <w:rPr>
          <w:sz w:val="33"/>
        </w:rPr>
      </w:pPr>
    </w:p>
    <w:p>
      <w:pPr>
        <w:pStyle w:val="ListParagraph"/>
        <w:numPr>
          <w:ilvl w:val="0"/>
          <w:numId w:val="1"/>
        </w:numPr>
        <w:tabs>
          <w:tab w:pos="1184" w:val="left" w:leader="none"/>
        </w:tabs>
        <w:spacing w:line="369" w:lineRule="auto" w:before="0" w:after="0"/>
        <w:ind w:left="1183" w:right="150" w:hanging="336"/>
        <w:jc w:val="both"/>
        <w:rPr>
          <w:sz w:val="22"/>
        </w:rPr>
      </w:pPr>
      <w:r>
        <w:rPr>
          <w:b/>
          <w:sz w:val="22"/>
        </w:rPr>
        <w:t>CALLS UPON </w:t>
      </w:r>
      <w:r>
        <w:rPr>
          <w:sz w:val="22"/>
        </w:rPr>
        <w:t>all States to prevent these foreign interest from collaborating with the Government of the Republic of South Africa in its oppressive and</w:t>
      </w:r>
      <w:r>
        <w:rPr>
          <w:spacing w:val="80"/>
          <w:sz w:val="22"/>
        </w:rPr>
        <w:t> </w:t>
      </w:r>
      <w:r>
        <w:rPr>
          <w:sz w:val="22"/>
        </w:rPr>
        <w:t>discriminatory policies against the African people in that territory.</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6.279999pt;margin-top:34.068241pt;width:83.35pt;height:14.5pt;mso-position-horizontal-relative:page;mso-position-vertical-relative:page;z-index:-15757312" type="#_x0000_t202" id="docshape1" filled="false" stroked="false">
          <v:textbox inset="0,0,0,0">
            <w:txbxContent>
              <w:p>
                <w:pPr>
                  <w:pStyle w:val="BodyText"/>
                  <w:spacing w:before="15"/>
                  <w:ind w:left="20"/>
                </w:pPr>
                <w:r>
                  <w:rPr/>
                  <w:t>CM/Res.</w:t>
                </w:r>
                <w:r>
                  <w:rPr>
                    <w:spacing w:val="15"/>
                  </w:rPr>
                  <w:t> </w:t>
                </w:r>
                <w:r>
                  <w:rPr>
                    <w:spacing w:val="-2"/>
                  </w:rPr>
                  <w:t>97(VIII)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2229" w:right="2211"/>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3" w:right="143"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EIGHTH ORDINARY SESSION OF THE COUNCIL OF MINISTERS HELD IN ADDIS ABABA, ETHIOPIA FROM 27 FEBRUARY TO 4 MARCH 1967</dc:title>
  <dcterms:created xsi:type="dcterms:W3CDTF">2023-06-06T12:56:05Z</dcterms:created>
  <dcterms:modified xsi:type="dcterms:W3CDTF">2023-06-06T12:56:05Z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