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b w:val="0"/>
          <w:sz w:val="28"/>
        </w:rPr>
      </w:pPr>
    </w:p>
    <w:p>
      <w:pPr>
        <w:pStyle w:val="BodyText"/>
        <w:spacing w:before="90"/>
        <w:ind w:left="911" w:right="930"/>
        <w:jc w:val="center"/>
      </w:pPr>
      <w:r>
        <w:rPr>
          <w:u w:val="single"/>
        </w:rPr>
        <w:t>RESOLUTION</w:t>
      </w:r>
      <w:r>
        <w:rPr>
          <w:spacing w:val="-8"/>
          <w:u w:val="single"/>
        </w:rPr>
        <w:t> </w:t>
      </w:r>
      <w:r>
        <w:rPr>
          <w:u w:val="single"/>
        </w:rPr>
        <w:t>ON</w:t>
      </w:r>
      <w:r>
        <w:rPr>
          <w:spacing w:val="-7"/>
          <w:u w:val="single"/>
        </w:rPr>
        <w:t> </w:t>
      </w:r>
      <w:r>
        <w:rPr>
          <w:spacing w:val="-5"/>
          <w:u w:val="single"/>
        </w:rPr>
        <w:t>THE</w:t>
      </w:r>
    </w:p>
    <w:p>
      <w:pPr>
        <w:pStyle w:val="BodyText"/>
        <w:spacing w:before="137"/>
        <w:ind w:left="911" w:right="930"/>
        <w:jc w:val="center"/>
      </w:pPr>
      <w:r>
        <w:rPr>
          <w:u w:val="single"/>
        </w:rPr>
        <w:t>CO-ORDINATING</w:t>
      </w:r>
      <w:r>
        <w:rPr>
          <w:spacing w:val="-7"/>
          <w:u w:val="single"/>
        </w:rPr>
        <w:t> </w:t>
      </w:r>
      <w:r>
        <w:rPr>
          <w:u w:val="single"/>
        </w:rPr>
        <w:t>COMMITTEE</w:t>
      </w:r>
      <w:r>
        <w:rPr>
          <w:spacing w:val="-7"/>
          <w:u w:val="single"/>
        </w:rPr>
        <w:t> </w:t>
      </w:r>
      <w:r>
        <w:rPr>
          <w:u w:val="single"/>
        </w:rPr>
        <w:t>FOR</w:t>
      </w:r>
      <w:r>
        <w:rPr>
          <w:spacing w:val="-7"/>
          <w:u w:val="single"/>
        </w:rPr>
        <w:t> </w:t>
      </w:r>
      <w:r>
        <w:rPr>
          <w:u w:val="single"/>
        </w:rPr>
        <w:t>THE</w:t>
      </w:r>
      <w:r>
        <w:rPr>
          <w:spacing w:val="-3"/>
          <w:u w:val="single"/>
        </w:rPr>
        <w:t> </w:t>
      </w:r>
      <w:r>
        <w:rPr>
          <w:u w:val="single"/>
        </w:rPr>
        <w:t>LIBERATION</w:t>
      </w:r>
      <w:r>
        <w:rPr>
          <w:spacing w:val="-7"/>
          <w:u w:val="single"/>
        </w:rPr>
        <w:t> </w:t>
      </w:r>
      <w:r>
        <w:rPr>
          <w:u w:val="single"/>
        </w:rPr>
        <w:t>OF</w:t>
      </w:r>
      <w:r>
        <w:rPr>
          <w:spacing w:val="-7"/>
          <w:u w:val="single"/>
        </w:rPr>
        <w:t> </w:t>
      </w:r>
      <w:r>
        <w:rPr>
          <w:spacing w:val="-2"/>
          <w:u w:val="single"/>
        </w:rPr>
        <w:t>AFRICA</w:t>
      </w:r>
    </w:p>
    <w:p>
      <w:pPr>
        <w:pStyle w:val="BodyText"/>
        <w:rPr>
          <w:sz w:val="20"/>
        </w:rPr>
      </w:pPr>
    </w:p>
    <w:p>
      <w:pPr>
        <w:pStyle w:val="BodyText"/>
        <w:spacing w:before="11"/>
        <w:rPr>
          <w:sz w:val="19"/>
        </w:rPr>
      </w:pPr>
    </w:p>
    <w:p>
      <w:pPr>
        <w:pStyle w:val="BodyText"/>
        <w:spacing w:line="362" w:lineRule="auto" w:before="90"/>
        <w:ind w:left="100" w:right="137" w:firstLine="719"/>
        <w:jc w:val="both"/>
      </w:pPr>
      <w:r>
        <w:rPr/>
        <w:t>The Council of Ministers of the Organization of African Unity, meeting in its Tenth Ordinary Session in Addis Ababa, Ethiopia, from 20 to 24 February 1968,</w:t>
      </w:r>
    </w:p>
    <w:p>
      <w:pPr>
        <w:pStyle w:val="BodyText"/>
        <w:spacing w:before="7"/>
        <w:rPr>
          <w:sz w:val="35"/>
        </w:rPr>
      </w:pPr>
    </w:p>
    <w:p>
      <w:pPr>
        <w:pStyle w:val="BodyText"/>
        <w:spacing w:line="360" w:lineRule="auto"/>
        <w:ind w:left="100" w:right="117" w:firstLine="719"/>
        <w:jc w:val="both"/>
      </w:pPr>
      <w:r>
        <w:rPr>
          <w:u w:val="single"/>
        </w:rPr>
        <w:t>Recalling</w:t>
      </w:r>
      <w:r>
        <w:rPr/>
        <w:t> the resolution on decolonization adopted by the Conference of Heads of State and Government in Addis Ababa in May 1963,</w:t>
      </w:r>
    </w:p>
    <w:p>
      <w:pPr>
        <w:pStyle w:val="BodyText"/>
        <w:spacing w:before="1"/>
        <w:rPr>
          <w:sz w:val="36"/>
        </w:rPr>
      </w:pPr>
    </w:p>
    <w:p>
      <w:pPr>
        <w:pStyle w:val="BodyText"/>
        <w:spacing w:line="360" w:lineRule="auto" w:before="1"/>
        <w:ind w:left="100" w:right="132" w:firstLine="719"/>
        <w:jc w:val="both"/>
      </w:pPr>
      <w:r>
        <w:rPr>
          <w:u w:val="single"/>
        </w:rPr>
        <w:t>Reaffirming</w:t>
      </w:r>
      <w:r>
        <w:rPr/>
        <w:t> that it is the duty of all independent African States to support dependent peoples in Africa in their struggle for freedom and independence,</w:t>
      </w:r>
    </w:p>
    <w:p>
      <w:pPr>
        <w:pStyle w:val="BodyText"/>
        <w:spacing w:before="1"/>
        <w:rPr>
          <w:sz w:val="36"/>
        </w:rPr>
      </w:pPr>
    </w:p>
    <w:p>
      <w:pPr>
        <w:pStyle w:val="BodyText"/>
        <w:spacing w:line="360" w:lineRule="auto"/>
        <w:ind w:left="100" w:right="122" w:firstLine="720"/>
        <w:jc w:val="both"/>
      </w:pPr>
      <w:r>
        <w:rPr>
          <w:u w:val="single"/>
        </w:rPr>
        <w:t>Convinced</w:t>
      </w:r>
      <w:r>
        <w:rPr/>
        <w:t> of the imperative and urgent necessity of intensifying the efforts of all independent African countries to accelerate the attainment of national independence by all African territories still under foreign domination,</w:t>
      </w:r>
    </w:p>
    <w:p>
      <w:pPr>
        <w:pStyle w:val="BodyText"/>
        <w:spacing w:before="2"/>
        <w:rPr>
          <w:sz w:val="28"/>
        </w:rPr>
      </w:pPr>
    </w:p>
    <w:p>
      <w:pPr>
        <w:pStyle w:val="BodyText"/>
        <w:spacing w:before="90"/>
        <w:ind w:left="820"/>
      </w:pPr>
      <w:r>
        <w:rPr>
          <w:u w:val="single"/>
        </w:rPr>
        <w:t>Having</w:t>
      </w:r>
      <w:r>
        <w:rPr>
          <w:spacing w:val="17"/>
          <w:u w:val="single"/>
        </w:rPr>
        <w:t> </w:t>
      </w:r>
      <w:r>
        <w:rPr>
          <w:u w:val="single"/>
        </w:rPr>
        <w:t>examined</w:t>
      </w:r>
      <w:r>
        <w:rPr>
          <w:spacing w:val="19"/>
        </w:rPr>
        <w:t> </w:t>
      </w:r>
      <w:r>
        <w:rPr/>
        <w:t>the</w:t>
      </w:r>
      <w:r>
        <w:rPr>
          <w:spacing w:val="17"/>
        </w:rPr>
        <w:t> </w:t>
      </w:r>
      <w:r>
        <w:rPr/>
        <w:t>report</w:t>
      </w:r>
      <w:r>
        <w:rPr>
          <w:spacing w:val="19"/>
        </w:rPr>
        <w:t> </w:t>
      </w:r>
      <w:r>
        <w:rPr/>
        <w:t>of</w:t>
      </w:r>
      <w:r>
        <w:rPr>
          <w:spacing w:val="17"/>
        </w:rPr>
        <w:t> </w:t>
      </w:r>
      <w:r>
        <w:rPr/>
        <w:t>the</w:t>
      </w:r>
      <w:r>
        <w:rPr>
          <w:spacing w:val="17"/>
        </w:rPr>
        <w:t> </w:t>
      </w:r>
      <w:r>
        <w:rPr/>
        <w:t>Co-ordinating</w:t>
      </w:r>
      <w:r>
        <w:rPr>
          <w:spacing w:val="19"/>
        </w:rPr>
        <w:t> </w:t>
      </w:r>
      <w:r>
        <w:rPr/>
        <w:t>Committee</w:t>
      </w:r>
      <w:r>
        <w:rPr>
          <w:spacing w:val="18"/>
        </w:rPr>
        <w:t> </w:t>
      </w:r>
      <w:r>
        <w:rPr/>
        <w:t>for</w:t>
      </w:r>
      <w:r>
        <w:rPr>
          <w:spacing w:val="18"/>
        </w:rPr>
        <w:t> </w:t>
      </w:r>
      <w:r>
        <w:rPr/>
        <w:t>the</w:t>
      </w:r>
      <w:r>
        <w:rPr>
          <w:spacing w:val="18"/>
        </w:rPr>
        <w:t> </w:t>
      </w:r>
      <w:r>
        <w:rPr/>
        <w:t>Liberation</w:t>
      </w:r>
      <w:r>
        <w:rPr>
          <w:spacing w:val="11"/>
        </w:rPr>
        <w:t> </w:t>
      </w:r>
      <w:r>
        <w:rPr>
          <w:spacing w:val="-5"/>
        </w:rPr>
        <w:t>of</w:t>
      </w:r>
    </w:p>
    <w:p>
      <w:pPr>
        <w:pStyle w:val="BodyText"/>
        <w:spacing w:before="137"/>
        <w:ind w:left="100"/>
      </w:pPr>
      <w:r>
        <w:rPr>
          <w:spacing w:val="-2"/>
        </w:rPr>
        <w:t>Africa,</w:t>
      </w:r>
    </w:p>
    <w:p>
      <w:pPr>
        <w:pStyle w:val="BodyText"/>
        <w:rPr>
          <w:sz w:val="20"/>
        </w:rPr>
      </w:pPr>
    </w:p>
    <w:p>
      <w:pPr>
        <w:pStyle w:val="BodyText"/>
        <w:spacing w:before="11"/>
        <w:rPr>
          <w:sz w:val="19"/>
        </w:rPr>
      </w:pPr>
    </w:p>
    <w:p>
      <w:pPr>
        <w:pStyle w:val="BodyText"/>
        <w:spacing w:line="722" w:lineRule="auto" w:before="90"/>
        <w:ind w:left="819"/>
      </w:pPr>
      <w:r>
        <w:rPr>
          <w:u w:val="single"/>
        </w:rPr>
        <w:t>Noting</w:t>
      </w:r>
      <w:r>
        <w:rPr>
          <w:spacing w:val="-5"/>
          <w:u w:val="single"/>
        </w:rPr>
        <w:t> </w:t>
      </w:r>
      <w:r>
        <w:rPr>
          <w:u w:val="single"/>
        </w:rPr>
        <w:t>with</w:t>
      </w:r>
      <w:r>
        <w:rPr>
          <w:spacing w:val="-5"/>
          <w:u w:val="single"/>
        </w:rPr>
        <w:t> </w:t>
      </w:r>
      <w:r>
        <w:rPr>
          <w:u w:val="single"/>
        </w:rPr>
        <w:t>satisfaction</w:t>
      </w:r>
      <w:r>
        <w:rPr>
          <w:spacing w:val="-1"/>
        </w:rPr>
        <w:t> </w:t>
      </w:r>
      <w:r>
        <w:rPr/>
        <w:t>the</w:t>
      </w:r>
      <w:r>
        <w:rPr>
          <w:spacing w:val="-5"/>
        </w:rPr>
        <w:t> </w:t>
      </w:r>
      <w:r>
        <w:rPr/>
        <w:t>work</w:t>
      </w:r>
      <w:r>
        <w:rPr>
          <w:spacing w:val="-5"/>
        </w:rPr>
        <w:t> </w:t>
      </w:r>
      <w:r>
        <w:rPr/>
        <w:t>so</w:t>
      </w:r>
      <w:r>
        <w:rPr>
          <w:spacing w:val="-5"/>
        </w:rPr>
        <w:t> </w:t>
      </w:r>
      <w:r>
        <w:rPr/>
        <w:t>far</w:t>
      </w:r>
      <w:r>
        <w:rPr>
          <w:spacing w:val="-5"/>
        </w:rPr>
        <w:t> </w:t>
      </w:r>
      <w:r>
        <w:rPr/>
        <w:t>accomplished</w:t>
      </w:r>
      <w:r>
        <w:rPr>
          <w:spacing w:val="-4"/>
        </w:rPr>
        <w:t> </w:t>
      </w:r>
      <w:r>
        <w:rPr/>
        <w:t>by</w:t>
      </w:r>
      <w:r>
        <w:rPr>
          <w:spacing w:val="-5"/>
        </w:rPr>
        <w:t> </w:t>
      </w:r>
      <w:r>
        <w:rPr/>
        <w:t>the</w:t>
      </w:r>
      <w:r>
        <w:rPr>
          <w:spacing w:val="-5"/>
        </w:rPr>
        <w:t> </w:t>
      </w:r>
      <w:r>
        <w:rPr/>
        <w:t>Liberation</w:t>
      </w:r>
      <w:r>
        <w:rPr>
          <w:spacing w:val="-4"/>
        </w:rPr>
        <w:t> </w:t>
      </w:r>
      <w:r>
        <w:rPr/>
        <w:t>Committee; </w:t>
      </w:r>
      <w:r>
        <w:rPr>
          <w:u w:val="single"/>
        </w:rPr>
        <w:t>Taking note</w:t>
      </w:r>
      <w:r>
        <w:rPr/>
        <w:t> of the positive efforts of some of the Liberation movements,</w:t>
      </w:r>
    </w:p>
    <w:p>
      <w:pPr>
        <w:pStyle w:val="ListParagraph"/>
        <w:numPr>
          <w:ilvl w:val="0"/>
          <w:numId w:val="1"/>
        </w:numPr>
        <w:tabs>
          <w:tab w:pos="1180" w:val="left" w:leader="none"/>
        </w:tabs>
        <w:spacing w:line="362" w:lineRule="auto" w:before="0" w:after="0"/>
        <w:ind w:left="1180" w:right="130" w:hanging="360"/>
        <w:jc w:val="both"/>
        <w:rPr>
          <w:b/>
          <w:sz w:val="24"/>
        </w:rPr>
      </w:pPr>
      <w:r>
        <w:rPr>
          <w:b/>
          <w:sz w:val="24"/>
        </w:rPr>
        <w:t>URGES all Member States to pay their arrears of contribution to the Special Fund as well as their contribution for the current fiscal year;</w:t>
      </w:r>
    </w:p>
    <w:p>
      <w:pPr>
        <w:pStyle w:val="BodyText"/>
        <w:spacing w:before="2"/>
        <w:rPr>
          <w:sz w:val="35"/>
        </w:rPr>
      </w:pPr>
    </w:p>
    <w:p>
      <w:pPr>
        <w:pStyle w:val="ListParagraph"/>
        <w:numPr>
          <w:ilvl w:val="0"/>
          <w:numId w:val="1"/>
        </w:numPr>
        <w:tabs>
          <w:tab w:pos="1180" w:val="left" w:leader="none"/>
        </w:tabs>
        <w:spacing w:line="360" w:lineRule="auto" w:before="0" w:after="0"/>
        <w:ind w:left="1179" w:right="121" w:hanging="360"/>
        <w:jc w:val="both"/>
        <w:rPr>
          <w:b/>
          <w:sz w:val="24"/>
        </w:rPr>
      </w:pPr>
      <w:r>
        <w:rPr>
          <w:b/>
          <w:sz w:val="24"/>
        </w:rPr>
        <w:t>RECOMMENDS to the Heads of State and Government to review the status of the Government in Exile of Angola as this status could not only lead some liberation movements to complacency but also diminishes their dynamism and vigor in the struggle;</w:t>
      </w:r>
    </w:p>
    <w:p>
      <w:pPr>
        <w:pStyle w:val="BodyText"/>
        <w:spacing w:before="10"/>
        <w:rPr>
          <w:sz w:val="35"/>
        </w:rPr>
      </w:pPr>
    </w:p>
    <w:p>
      <w:pPr>
        <w:pStyle w:val="ListParagraph"/>
        <w:numPr>
          <w:ilvl w:val="0"/>
          <w:numId w:val="1"/>
        </w:numPr>
        <w:tabs>
          <w:tab w:pos="1180" w:val="left" w:leader="none"/>
        </w:tabs>
        <w:spacing w:line="362" w:lineRule="auto" w:before="0" w:after="0"/>
        <w:ind w:left="1180" w:right="131" w:hanging="361"/>
        <w:jc w:val="both"/>
        <w:rPr>
          <w:b/>
          <w:sz w:val="24"/>
        </w:rPr>
      </w:pPr>
      <w:r>
        <w:rPr>
          <w:b/>
          <w:sz w:val="24"/>
        </w:rPr>
        <w:t>APPEALS to the countries adjacent to territories still under foreign domination particularly,</w:t>
      </w:r>
      <w:r>
        <w:rPr>
          <w:b/>
          <w:spacing w:val="80"/>
          <w:sz w:val="24"/>
        </w:rPr>
        <w:t> </w:t>
      </w:r>
      <w:r>
        <w:rPr>
          <w:b/>
          <w:sz w:val="24"/>
        </w:rPr>
        <w:t>those</w:t>
      </w:r>
      <w:r>
        <w:rPr>
          <w:b/>
          <w:spacing w:val="80"/>
          <w:sz w:val="24"/>
        </w:rPr>
        <w:t> </w:t>
      </w:r>
      <w:r>
        <w:rPr>
          <w:b/>
          <w:sz w:val="24"/>
        </w:rPr>
        <w:t>adjacent</w:t>
      </w:r>
      <w:r>
        <w:rPr>
          <w:b/>
          <w:spacing w:val="80"/>
          <w:sz w:val="24"/>
        </w:rPr>
        <w:t> </w:t>
      </w:r>
      <w:r>
        <w:rPr>
          <w:b/>
          <w:sz w:val="24"/>
        </w:rPr>
        <w:t>to</w:t>
      </w:r>
      <w:r>
        <w:rPr>
          <w:b/>
          <w:spacing w:val="80"/>
          <w:sz w:val="24"/>
        </w:rPr>
        <w:t> </w:t>
      </w:r>
      <w:r>
        <w:rPr>
          <w:b/>
          <w:sz w:val="24"/>
        </w:rPr>
        <w:t>Zimbabwe,</w:t>
      </w:r>
      <w:r>
        <w:rPr>
          <w:b/>
          <w:spacing w:val="80"/>
          <w:sz w:val="24"/>
        </w:rPr>
        <w:t> </w:t>
      </w:r>
      <w:r>
        <w:rPr>
          <w:b/>
          <w:sz w:val="24"/>
        </w:rPr>
        <w:t>South</w:t>
      </w:r>
      <w:r>
        <w:rPr>
          <w:b/>
          <w:spacing w:val="80"/>
          <w:sz w:val="24"/>
        </w:rPr>
        <w:t> </w:t>
      </w:r>
      <w:r>
        <w:rPr>
          <w:b/>
          <w:sz w:val="24"/>
        </w:rPr>
        <w:t>Africa,</w:t>
      </w:r>
      <w:r>
        <w:rPr>
          <w:b/>
          <w:spacing w:val="80"/>
          <w:sz w:val="24"/>
        </w:rPr>
        <w:t> </w:t>
      </w:r>
      <w:r>
        <w:rPr>
          <w:b/>
          <w:sz w:val="24"/>
        </w:rPr>
        <w:t>Mozambique</w:t>
      </w:r>
      <w:r>
        <w:rPr>
          <w:b/>
          <w:spacing w:val="80"/>
          <w:sz w:val="24"/>
        </w:rPr>
        <w:t> </w:t>
      </w:r>
      <w:r>
        <w:rPr>
          <w:b/>
          <w:sz w:val="24"/>
        </w:rPr>
        <w:t>and</w:t>
      </w:r>
    </w:p>
    <w:p>
      <w:pPr>
        <w:spacing w:after="0" w:line="362" w:lineRule="auto"/>
        <w:jc w:val="both"/>
        <w:rPr>
          <w:sz w:val="24"/>
        </w:rPr>
        <w:sectPr>
          <w:headerReference w:type="default" r:id="rId5"/>
          <w:type w:val="continuous"/>
          <w:pgSz w:w="12240" w:h="15840"/>
          <w:pgMar w:header="727" w:footer="0" w:top="980" w:bottom="280" w:left="1340" w:right="1320"/>
          <w:pgNumType w:start="1"/>
        </w:sectPr>
      </w:pPr>
    </w:p>
    <w:p>
      <w:pPr>
        <w:pStyle w:val="BodyText"/>
        <w:spacing w:line="360" w:lineRule="auto"/>
        <w:ind w:left="1179" w:right="120"/>
        <w:jc w:val="both"/>
      </w:pPr>
      <w:r>
        <w:rPr/>
        <w:t>Angola to provide facilities to </w:t>
      </w:r>
      <w:r>
        <w:rPr>
          <w:u w:val="single"/>
        </w:rPr>
        <w:t>bona fide</w:t>
      </w:r>
      <w:r>
        <w:rPr/>
        <w:t> cadres of the freedom movements to infiltrate</w:t>
      </w:r>
      <w:r>
        <w:rPr>
          <w:spacing w:val="-3"/>
        </w:rPr>
        <w:t> </w:t>
      </w:r>
      <w:r>
        <w:rPr/>
        <w:t>into</w:t>
      </w:r>
      <w:r>
        <w:rPr>
          <w:spacing w:val="-2"/>
        </w:rPr>
        <w:t> </w:t>
      </w:r>
      <w:r>
        <w:rPr/>
        <w:t>their</w:t>
      </w:r>
      <w:r>
        <w:rPr>
          <w:spacing w:val="-3"/>
        </w:rPr>
        <w:t> </w:t>
      </w:r>
      <w:r>
        <w:rPr/>
        <w:t>respective</w:t>
      </w:r>
      <w:r>
        <w:rPr>
          <w:spacing w:val="-3"/>
        </w:rPr>
        <w:t> </w:t>
      </w:r>
      <w:r>
        <w:rPr/>
        <w:t>fields</w:t>
      </w:r>
      <w:r>
        <w:rPr>
          <w:spacing w:val="-3"/>
        </w:rPr>
        <w:t> </w:t>
      </w:r>
      <w:r>
        <w:rPr/>
        <w:t>of</w:t>
      </w:r>
      <w:r>
        <w:rPr>
          <w:spacing w:val="-3"/>
        </w:rPr>
        <w:t> </w:t>
      </w:r>
      <w:r>
        <w:rPr/>
        <w:t>operations</w:t>
      </w:r>
      <w:r>
        <w:rPr>
          <w:spacing w:val="-3"/>
        </w:rPr>
        <w:t> </w:t>
      </w:r>
      <w:r>
        <w:rPr/>
        <w:t>and</w:t>
      </w:r>
      <w:r>
        <w:rPr>
          <w:spacing w:val="-2"/>
        </w:rPr>
        <w:t> </w:t>
      </w:r>
      <w:r>
        <w:rPr/>
        <w:t>requests</w:t>
      </w:r>
      <w:r>
        <w:rPr>
          <w:spacing w:val="-2"/>
        </w:rPr>
        <w:t> </w:t>
      </w:r>
      <w:r>
        <w:rPr/>
        <w:t>the</w:t>
      </w:r>
      <w:r>
        <w:rPr>
          <w:spacing w:val="-3"/>
        </w:rPr>
        <w:t> </w:t>
      </w:r>
      <w:r>
        <w:rPr/>
        <w:t>Co-ordinating Committee for the Liberation of Africa to co-ordinate details of their passage with the government concerned;</w:t>
      </w:r>
    </w:p>
    <w:p>
      <w:pPr>
        <w:pStyle w:val="BodyText"/>
        <w:spacing w:before="1"/>
        <w:rPr>
          <w:sz w:val="36"/>
        </w:rPr>
      </w:pPr>
    </w:p>
    <w:p>
      <w:pPr>
        <w:pStyle w:val="ListParagraph"/>
        <w:numPr>
          <w:ilvl w:val="0"/>
          <w:numId w:val="1"/>
        </w:numPr>
        <w:tabs>
          <w:tab w:pos="1180" w:val="left" w:leader="none"/>
        </w:tabs>
        <w:spacing w:line="360" w:lineRule="auto" w:before="0" w:after="0"/>
        <w:ind w:left="1180" w:right="124" w:hanging="361"/>
        <w:jc w:val="left"/>
        <w:rPr>
          <w:b/>
          <w:sz w:val="24"/>
        </w:rPr>
      </w:pPr>
      <w:r>
        <w:rPr>
          <w:b/>
          <w:sz w:val="24"/>
        </w:rPr>
        <w:t>INVITES</w:t>
      </w:r>
      <w:r>
        <w:rPr>
          <w:b/>
          <w:spacing w:val="31"/>
          <w:sz w:val="24"/>
        </w:rPr>
        <w:t> </w:t>
      </w:r>
      <w:r>
        <w:rPr>
          <w:b/>
          <w:sz w:val="24"/>
        </w:rPr>
        <w:t>all</w:t>
      </w:r>
      <w:r>
        <w:rPr>
          <w:b/>
          <w:spacing w:val="30"/>
          <w:sz w:val="24"/>
        </w:rPr>
        <w:t> </w:t>
      </w:r>
      <w:r>
        <w:rPr>
          <w:b/>
          <w:sz w:val="24"/>
        </w:rPr>
        <w:t>Members</w:t>
      </w:r>
      <w:r>
        <w:rPr>
          <w:b/>
          <w:spacing w:val="30"/>
          <w:sz w:val="24"/>
        </w:rPr>
        <w:t> </w:t>
      </w:r>
      <w:r>
        <w:rPr>
          <w:b/>
          <w:sz w:val="24"/>
        </w:rPr>
        <w:t>of</w:t>
      </w:r>
      <w:r>
        <w:rPr>
          <w:b/>
          <w:spacing w:val="30"/>
          <w:sz w:val="24"/>
        </w:rPr>
        <w:t> </w:t>
      </w:r>
      <w:r>
        <w:rPr>
          <w:b/>
          <w:sz w:val="24"/>
        </w:rPr>
        <w:t>the</w:t>
      </w:r>
      <w:r>
        <w:rPr>
          <w:b/>
          <w:spacing w:val="30"/>
          <w:sz w:val="24"/>
        </w:rPr>
        <w:t> </w:t>
      </w:r>
      <w:r>
        <w:rPr>
          <w:b/>
          <w:sz w:val="24"/>
        </w:rPr>
        <w:t>OAU</w:t>
      </w:r>
      <w:r>
        <w:rPr>
          <w:b/>
          <w:spacing w:val="30"/>
          <w:sz w:val="24"/>
        </w:rPr>
        <w:t> </w:t>
      </w:r>
      <w:r>
        <w:rPr>
          <w:b/>
          <w:sz w:val="24"/>
        </w:rPr>
        <w:t>to</w:t>
      </w:r>
      <w:r>
        <w:rPr>
          <w:b/>
          <w:spacing w:val="30"/>
          <w:sz w:val="24"/>
        </w:rPr>
        <w:t> </w:t>
      </w:r>
      <w:r>
        <w:rPr>
          <w:b/>
          <w:sz w:val="24"/>
        </w:rPr>
        <w:t>continue</w:t>
      </w:r>
      <w:r>
        <w:rPr>
          <w:b/>
          <w:spacing w:val="36"/>
          <w:sz w:val="24"/>
        </w:rPr>
        <w:t> </w:t>
      </w:r>
      <w:r>
        <w:rPr>
          <w:b/>
          <w:sz w:val="24"/>
        </w:rPr>
        <w:t>in</w:t>
      </w:r>
      <w:r>
        <w:rPr>
          <w:b/>
          <w:spacing w:val="30"/>
          <w:sz w:val="24"/>
        </w:rPr>
        <w:t> </w:t>
      </w:r>
      <w:r>
        <w:rPr>
          <w:b/>
          <w:sz w:val="24"/>
        </w:rPr>
        <w:t>their</w:t>
      </w:r>
      <w:r>
        <w:rPr>
          <w:b/>
          <w:spacing w:val="30"/>
          <w:sz w:val="24"/>
        </w:rPr>
        <w:t> </w:t>
      </w:r>
      <w:r>
        <w:rPr>
          <w:b/>
          <w:sz w:val="24"/>
        </w:rPr>
        <w:t>efforts</w:t>
      </w:r>
      <w:r>
        <w:rPr>
          <w:b/>
          <w:spacing w:val="30"/>
          <w:sz w:val="24"/>
        </w:rPr>
        <w:t> </w:t>
      </w:r>
      <w:r>
        <w:rPr>
          <w:b/>
          <w:sz w:val="24"/>
        </w:rPr>
        <w:t>to</w:t>
      </w:r>
      <w:r>
        <w:rPr>
          <w:b/>
          <w:spacing w:val="30"/>
          <w:sz w:val="24"/>
        </w:rPr>
        <w:t> </w:t>
      </w:r>
      <w:r>
        <w:rPr>
          <w:b/>
          <w:sz w:val="24"/>
        </w:rPr>
        <w:t>bring</w:t>
      </w:r>
      <w:r>
        <w:rPr>
          <w:b/>
          <w:spacing w:val="30"/>
          <w:sz w:val="24"/>
        </w:rPr>
        <w:t> </w:t>
      </w:r>
      <w:r>
        <w:rPr>
          <w:b/>
          <w:sz w:val="24"/>
        </w:rPr>
        <w:t>about unity within the Liberation movements;</w:t>
      </w:r>
    </w:p>
    <w:p>
      <w:pPr>
        <w:pStyle w:val="BodyText"/>
        <w:spacing w:before="8"/>
        <w:rPr>
          <w:sz w:val="35"/>
        </w:rPr>
      </w:pPr>
    </w:p>
    <w:p>
      <w:pPr>
        <w:pStyle w:val="ListParagraph"/>
        <w:numPr>
          <w:ilvl w:val="0"/>
          <w:numId w:val="1"/>
        </w:numPr>
        <w:tabs>
          <w:tab w:pos="1180" w:val="left" w:leader="none"/>
        </w:tabs>
        <w:spacing w:line="362" w:lineRule="auto" w:before="0" w:after="0"/>
        <w:ind w:left="1179" w:right="127" w:hanging="360"/>
        <w:jc w:val="left"/>
        <w:rPr>
          <w:b/>
          <w:sz w:val="24"/>
        </w:rPr>
      </w:pPr>
      <w:r>
        <w:rPr>
          <w:b/>
          <w:sz w:val="24"/>
        </w:rPr>
        <w:t>EXPRESSES</w:t>
      </w:r>
      <w:r>
        <w:rPr>
          <w:b/>
          <w:spacing w:val="40"/>
          <w:sz w:val="24"/>
        </w:rPr>
        <w:t> </w:t>
      </w:r>
      <w:r>
        <w:rPr>
          <w:b/>
          <w:sz w:val="24"/>
        </w:rPr>
        <w:t>its</w:t>
      </w:r>
      <w:r>
        <w:rPr>
          <w:b/>
          <w:spacing w:val="40"/>
          <w:sz w:val="24"/>
        </w:rPr>
        <w:t> </w:t>
      </w:r>
      <w:r>
        <w:rPr>
          <w:b/>
          <w:sz w:val="24"/>
        </w:rPr>
        <w:t>thanks</w:t>
      </w:r>
      <w:r>
        <w:rPr>
          <w:b/>
          <w:spacing w:val="40"/>
          <w:sz w:val="24"/>
        </w:rPr>
        <w:t> </w:t>
      </w:r>
      <w:r>
        <w:rPr>
          <w:b/>
          <w:sz w:val="24"/>
        </w:rPr>
        <w:t>to</w:t>
      </w:r>
      <w:r>
        <w:rPr>
          <w:b/>
          <w:spacing w:val="40"/>
          <w:sz w:val="24"/>
        </w:rPr>
        <w:t> </w:t>
      </w:r>
      <w:r>
        <w:rPr>
          <w:b/>
          <w:sz w:val="24"/>
        </w:rPr>
        <w:t>the</w:t>
      </w:r>
      <w:r>
        <w:rPr>
          <w:b/>
          <w:spacing w:val="40"/>
          <w:sz w:val="24"/>
        </w:rPr>
        <w:t> </w:t>
      </w:r>
      <w:r>
        <w:rPr>
          <w:b/>
          <w:sz w:val="24"/>
        </w:rPr>
        <w:t>Government</w:t>
      </w:r>
      <w:r>
        <w:rPr>
          <w:b/>
          <w:spacing w:val="40"/>
          <w:sz w:val="24"/>
        </w:rPr>
        <w:t> </w:t>
      </w:r>
      <w:r>
        <w:rPr>
          <w:b/>
          <w:sz w:val="24"/>
        </w:rPr>
        <w:t>and</w:t>
      </w:r>
      <w:r>
        <w:rPr>
          <w:b/>
          <w:spacing w:val="40"/>
          <w:sz w:val="24"/>
        </w:rPr>
        <w:t> </w:t>
      </w:r>
      <w:r>
        <w:rPr>
          <w:b/>
          <w:sz w:val="24"/>
        </w:rPr>
        <w:t>people</w:t>
      </w:r>
      <w:r>
        <w:rPr>
          <w:b/>
          <w:spacing w:val="40"/>
          <w:sz w:val="24"/>
        </w:rPr>
        <w:t> </w:t>
      </w:r>
      <w:r>
        <w:rPr>
          <w:b/>
          <w:sz w:val="24"/>
        </w:rPr>
        <w:t>of</w:t>
      </w:r>
      <w:r>
        <w:rPr>
          <w:b/>
          <w:spacing w:val="40"/>
          <w:sz w:val="24"/>
        </w:rPr>
        <w:t> </w:t>
      </w:r>
      <w:r>
        <w:rPr>
          <w:b/>
          <w:sz w:val="24"/>
        </w:rPr>
        <w:t>Tanzania</w:t>
      </w:r>
      <w:r>
        <w:rPr>
          <w:b/>
          <w:spacing w:val="40"/>
          <w:sz w:val="24"/>
        </w:rPr>
        <w:t> </w:t>
      </w:r>
      <w:r>
        <w:rPr>
          <w:b/>
          <w:sz w:val="24"/>
        </w:rPr>
        <w:t>for</w:t>
      </w:r>
      <w:r>
        <w:rPr>
          <w:b/>
          <w:spacing w:val="40"/>
          <w:sz w:val="24"/>
        </w:rPr>
        <w:t> </w:t>
      </w:r>
      <w:r>
        <w:rPr>
          <w:b/>
          <w:sz w:val="24"/>
        </w:rPr>
        <w:t>the generous assistance accorded to the Committee.</w:t>
      </w:r>
    </w:p>
    <w:sectPr>
      <w:pgSz w:w="12240" w:h="15840"/>
      <w:pgMar w:header="727" w:footer="0" w:top="9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453.079987pt;margin-top:35.346642pt;width:87.75pt;height:15.3pt;mso-position-horizontal-relative:page;mso-position-vertical-relative:page;z-index:-15760384" type="#_x0000_t202" id="docshape1" filled="false" stroked="false">
          <v:textbox inset="0,0,0,0">
            <w:txbxContent>
              <w:p>
                <w:pPr>
                  <w:pStyle w:val="BodyText"/>
                  <w:spacing w:before="10"/>
                  <w:ind w:left="20"/>
                </w:pPr>
                <w:r>
                  <w:rPr/>
                  <w:t>CM/Res.</w:t>
                </w:r>
                <w:r>
                  <w:rPr>
                    <w:spacing w:val="-2"/>
                  </w:rPr>
                  <w:t> </w:t>
                </w:r>
                <w:r>
                  <w:rPr/>
                  <w:t>136</w:t>
                </w:r>
                <w:r>
                  <w:rPr>
                    <w:spacing w:val="-4"/>
                  </w:rPr>
                  <w:t> </w:t>
                </w:r>
                <w:r>
                  <w:rPr>
                    <w:spacing w:val="-5"/>
                  </w:rPr>
                  <w:t>(X)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0" w:hanging="36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180" w:right="121"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TENTH ORDINARY SESSION OF THE COUNCIL OF MINISTERS HELD IN ADDIS ABABA, ETHIOPIA, FROM 20 TO 24 FEBRUARY 1968</dc:title>
  <dcterms:created xsi:type="dcterms:W3CDTF">2023-06-06T12:57:42Z</dcterms:created>
  <dcterms:modified xsi:type="dcterms:W3CDTF">2023-06-06T12:57:42Z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