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b w:val="0"/>
          <w:sz w:val="20"/>
        </w:rPr>
      </w:pPr>
    </w:p>
    <w:p>
      <w:pPr>
        <w:pStyle w:val="BodyText"/>
        <w:rPr>
          <w:b w:val="0"/>
          <w:sz w:val="20"/>
        </w:rPr>
      </w:pPr>
    </w:p>
    <w:p>
      <w:pPr>
        <w:pStyle w:val="BodyText"/>
        <w:spacing w:before="2"/>
        <w:rPr>
          <w:b w:val="0"/>
        </w:rPr>
      </w:pPr>
    </w:p>
    <w:p>
      <w:pPr>
        <w:pStyle w:val="BodyText"/>
        <w:spacing w:before="90"/>
        <w:ind w:left="335" w:right="335"/>
        <w:jc w:val="center"/>
      </w:pPr>
      <w:r>
        <w:rPr>
          <w:u w:val="single"/>
        </w:rPr>
        <w:t>RESOLUTION</w:t>
      </w:r>
      <w:r>
        <w:rPr>
          <w:spacing w:val="-7"/>
          <w:u w:val="single"/>
        </w:rPr>
        <w:t> </w:t>
      </w:r>
      <w:r>
        <w:rPr>
          <w:u w:val="single"/>
        </w:rPr>
        <w:t>ON</w:t>
      </w:r>
      <w:r>
        <w:rPr>
          <w:spacing w:val="-7"/>
          <w:u w:val="single"/>
        </w:rPr>
        <w:t> </w:t>
      </w:r>
      <w:r>
        <w:rPr>
          <w:u w:val="single"/>
        </w:rPr>
        <w:t>THE</w:t>
      </w:r>
      <w:r>
        <w:rPr>
          <w:spacing w:val="-7"/>
          <w:u w:val="single"/>
        </w:rPr>
        <w:t> </w:t>
      </w:r>
      <w:r>
        <w:rPr>
          <w:u w:val="single"/>
        </w:rPr>
        <w:t>DRAFT</w:t>
      </w:r>
      <w:r>
        <w:rPr>
          <w:spacing w:val="-6"/>
          <w:u w:val="single"/>
        </w:rPr>
        <w:t> </w:t>
      </w:r>
      <w:r>
        <w:rPr>
          <w:spacing w:val="-2"/>
          <w:u w:val="single"/>
        </w:rPr>
        <w:t>AFRICAN</w:t>
      </w:r>
    </w:p>
    <w:p>
      <w:pPr>
        <w:pStyle w:val="BodyText"/>
        <w:spacing w:before="137"/>
        <w:ind w:left="335" w:right="336"/>
        <w:jc w:val="center"/>
      </w:pPr>
      <w:r>
        <w:rPr>
          <w:u w:val="single"/>
        </w:rPr>
        <w:t>CONVENTION</w:t>
      </w:r>
      <w:r>
        <w:rPr>
          <w:spacing w:val="-7"/>
          <w:u w:val="single"/>
        </w:rPr>
        <w:t> </w:t>
      </w:r>
      <w:r>
        <w:rPr>
          <w:u w:val="single"/>
        </w:rPr>
        <w:t>ON</w:t>
      </w:r>
      <w:r>
        <w:rPr>
          <w:spacing w:val="-7"/>
          <w:u w:val="single"/>
        </w:rPr>
        <w:t> </w:t>
      </w:r>
      <w:r>
        <w:rPr>
          <w:u w:val="single"/>
        </w:rPr>
        <w:t>CONSERVATION</w:t>
      </w:r>
      <w:r>
        <w:rPr>
          <w:spacing w:val="-7"/>
          <w:u w:val="single"/>
        </w:rPr>
        <w:t> </w:t>
      </w:r>
      <w:r>
        <w:rPr>
          <w:u w:val="single"/>
        </w:rPr>
        <w:t>OF</w:t>
      </w:r>
      <w:r>
        <w:rPr>
          <w:spacing w:val="-7"/>
          <w:u w:val="single"/>
        </w:rPr>
        <w:t> </w:t>
      </w:r>
      <w:r>
        <w:rPr>
          <w:u w:val="single"/>
        </w:rPr>
        <w:t>NATURE</w:t>
      </w:r>
      <w:r>
        <w:rPr>
          <w:spacing w:val="-6"/>
          <w:u w:val="single"/>
        </w:rPr>
        <w:t> </w:t>
      </w:r>
      <w:r>
        <w:rPr>
          <w:u w:val="single"/>
        </w:rPr>
        <w:t>AND</w:t>
      </w:r>
      <w:r>
        <w:rPr>
          <w:spacing w:val="-7"/>
          <w:u w:val="single"/>
        </w:rPr>
        <w:t> </w:t>
      </w:r>
      <w:r>
        <w:rPr>
          <w:u w:val="single"/>
        </w:rPr>
        <w:t>NATURAL</w:t>
      </w:r>
      <w:r>
        <w:rPr>
          <w:spacing w:val="-7"/>
          <w:u w:val="single"/>
        </w:rPr>
        <w:t> </w:t>
      </w:r>
      <w:r>
        <w:rPr>
          <w:spacing w:val="-2"/>
          <w:u w:val="single"/>
        </w:rPr>
        <w:t>RESOURCES</w:t>
      </w:r>
    </w:p>
    <w:p>
      <w:pPr>
        <w:pStyle w:val="BodyText"/>
        <w:rPr>
          <w:sz w:val="20"/>
        </w:rPr>
      </w:pPr>
    </w:p>
    <w:p>
      <w:pPr>
        <w:pStyle w:val="BodyText"/>
        <w:spacing w:before="4"/>
        <w:rPr>
          <w:sz w:val="20"/>
        </w:rPr>
      </w:pPr>
    </w:p>
    <w:p>
      <w:pPr>
        <w:pStyle w:val="BodyText"/>
        <w:spacing w:line="360" w:lineRule="auto" w:before="90"/>
        <w:ind w:left="100" w:right="117" w:firstLine="719"/>
        <w:jc w:val="both"/>
      </w:pPr>
      <w:r>
        <w:rPr/>
        <w:t>The Council of Ministers of the Organization of African Unity, meeting in its Tenth Ordinary Session in Addis Ababa, Ethiopia, from 20 to 24 February 1968,</w:t>
      </w:r>
    </w:p>
    <w:p>
      <w:pPr>
        <w:pStyle w:val="BodyText"/>
        <w:spacing w:before="8"/>
        <w:rPr>
          <w:sz w:val="35"/>
        </w:rPr>
      </w:pPr>
    </w:p>
    <w:p>
      <w:pPr>
        <w:pStyle w:val="BodyText"/>
        <w:spacing w:line="360" w:lineRule="auto"/>
        <w:ind w:left="100" w:right="104" w:firstLine="720"/>
        <w:jc w:val="both"/>
      </w:pPr>
      <w:r>
        <w:rPr>
          <w:u w:val="single"/>
        </w:rPr>
        <w:t>Aware</w:t>
      </w:r>
      <w:r>
        <w:rPr/>
        <w:t> that by resolution CM/Res. 118 (IX) adopted in Kinshasa in September 1967 a committee was set up to amend the draft African Convention of Nature and Natural Resources, copies of which had been circulated to member States;</w:t>
      </w:r>
    </w:p>
    <w:p>
      <w:pPr>
        <w:pStyle w:val="BodyText"/>
        <w:rPr>
          <w:sz w:val="36"/>
        </w:rPr>
      </w:pPr>
    </w:p>
    <w:p>
      <w:pPr>
        <w:pStyle w:val="BodyText"/>
        <w:spacing w:line="362" w:lineRule="auto"/>
        <w:ind w:left="100" w:right="110" w:firstLine="720"/>
        <w:jc w:val="both"/>
      </w:pPr>
      <w:r>
        <w:rPr>
          <w:u w:val="single"/>
        </w:rPr>
        <w:t>Having examined</w:t>
      </w:r>
      <w:r>
        <w:rPr/>
        <w:t> the report of that Committee, including the amended draft </w:t>
      </w:r>
      <w:r>
        <w:rPr>
          <w:spacing w:val="-2"/>
        </w:rPr>
        <w:t>Convention:</w:t>
      </w:r>
    </w:p>
    <w:p>
      <w:pPr>
        <w:pStyle w:val="BodyText"/>
        <w:spacing w:before="7"/>
        <w:rPr>
          <w:sz w:val="35"/>
        </w:rPr>
      </w:pPr>
    </w:p>
    <w:p>
      <w:pPr>
        <w:pStyle w:val="ListParagraph"/>
        <w:numPr>
          <w:ilvl w:val="0"/>
          <w:numId w:val="1"/>
        </w:numPr>
        <w:tabs>
          <w:tab w:pos="1180" w:val="left" w:leader="none"/>
        </w:tabs>
        <w:spacing w:line="360" w:lineRule="auto" w:before="1" w:after="0"/>
        <w:ind w:left="1179" w:right="107" w:hanging="360"/>
        <w:jc w:val="left"/>
        <w:rPr>
          <w:b/>
          <w:sz w:val="24"/>
        </w:rPr>
      </w:pPr>
      <w:r>
        <w:rPr>
          <w:b/>
          <w:sz w:val="24"/>
        </w:rPr>
        <w:t>TAKES</w:t>
      </w:r>
      <w:r>
        <w:rPr>
          <w:b/>
          <w:spacing w:val="-4"/>
          <w:sz w:val="24"/>
        </w:rPr>
        <w:t> </w:t>
      </w:r>
      <w:r>
        <w:rPr>
          <w:b/>
          <w:sz w:val="24"/>
        </w:rPr>
        <w:t>NOTE</w:t>
      </w:r>
      <w:r>
        <w:rPr>
          <w:b/>
          <w:spacing w:val="-1"/>
          <w:sz w:val="24"/>
        </w:rPr>
        <w:t> </w:t>
      </w:r>
      <w:r>
        <w:rPr>
          <w:b/>
          <w:sz w:val="24"/>
        </w:rPr>
        <w:t>of</w:t>
      </w:r>
      <w:r>
        <w:rPr>
          <w:b/>
          <w:spacing w:val="-4"/>
          <w:sz w:val="24"/>
        </w:rPr>
        <w:t> </w:t>
      </w:r>
      <w:r>
        <w:rPr>
          <w:b/>
          <w:sz w:val="24"/>
        </w:rPr>
        <w:t>the</w:t>
      </w:r>
      <w:r>
        <w:rPr>
          <w:b/>
          <w:spacing w:val="-4"/>
          <w:sz w:val="24"/>
        </w:rPr>
        <w:t> </w:t>
      </w:r>
      <w:r>
        <w:rPr>
          <w:b/>
          <w:sz w:val="24"/>
        </w:rPr>
        <w:t>amended</w:t>
      </w:r>
      <w:r>
        <w:rPr>
          <w:b/>
          <w:spacing w:val="-3"/>
          <w:sz w:val="24"/>
        </w:rPr>
        <w:t> </w:t>
      </w:r>
      <w:r>
        <w:rPr>
          <w:b/>
          <w:sz w:val="24"/>
        </w:rPr>
        <w:t>draft</w:t>
      </w:r>
      <w:r>
        <w:rPr>
          <w:b/>
          <w:spacing w:val="-3"/>
          <w:sz w:val="24"/>
        </w:rPr>
        <w:t> </w:t>
      </w:r>
      <w:r>
        <w:rPr>
          <w:b/>
          <w:sz w:val="24"/>
        </w:rPr>
        <w:t>African</w:t>
      </w:r>
      <w:r>
        <w:rPr>
          <w:b/>
          <w:spacing w:val="-3"/>
          <w:sz w:val="24"/>
        </w:rPr>
        <w:t> </w:t>
      </w:r>
      <w:r>
        <w:rPr>
          <w:b/>
          <w:sz w:val="24"/>
        </w:rPr>
        <w:t>Convention</w:t>
      </w:r>
      <w:r>
        <w:rPr>
          <w:b/>
          <w:spacing w:val="-3"/>
          <w:sz w:val="24"/>
        </w:rPr>
        <w:t> </w:t>
      </w:r>
      <w:r>
        <w:rPr>
          <w:b/>
          <w:sz w:val="24"/>
        </w:rPr>
        <w:t>on</w:t>
      </w:r>
      <w:r>
        <w:rPr>
          <w:b/>
          <w:spacing w:val="-3"/>
          <w:sz w:val="24"/>
        </w:rPr>
        <w:t> </w:t>
      </w:r>
      <w:r>
        <w:rPr>
          <w:b/>
          <w:sz w:val="24"/>
        </w:rPr>
        <w:t>Nature</w:t>
      </w:r>
      <w:r>
        <w:rPr>
          <w:b/>
          <w:spacing w:val="-4"/>
          <w:sz w:val="24"/>
        </w:rPr>
        <w:t> </w:t>
      </w:r>
      <w:r>
        <w:rPr>
          <w:b/>
          <w:sz w:val="24"/>
        </w:rPr>
        <w:t>and</w:t>
      </w:r>
      <w:r>
        <w:rPr>
          <w:b/>
          <w:spacing w:val="-3"/>
          <w:sz w:val="24"/>
        </w:rPr>
        <w:t> </w:t>
      </w:r>
      <w:r>
        <w:rPr>
          <w:b/>
          <w:sz w:val="24"/>
        </w:rPr>
        <w:t>Natural Resources prepared by that Committee of Experts;</w:t>
      </w:r>
    </w:p>
    <w:p>
      <w:pPr>
        <w:pStyle w:val="BodyText"/>
        <w:spacing w:before="1"/>
        <w:rPr>
          <w:sz w:val="36"/>
        </w:rPr>
      </w:pPr>
    </w:p>
    <w:p>
      <w:pPr>
        <w:pStyle w:val="ListParagraph"/>
        <w:numPr>
          <w:ilvl w:val="0"/>
          <w:numId w:val="1"/>
        </w:numPr>
        <w:tabs>
          <w:tab w:pos="1180" w:val="left" w:leader="none"/>
        </w:tabs>
        <w:spacing w:line="240" w:lineRule="auto" w:before="0" w:after="0"/>
        <w:ind w:left="1180" w:right="0" w:hanging="360"/>
        <w:jc w:val="left"/>
        <w:rPr>
          <w:b/>
          <w:sz w:val="24"/>
        </w:rPr>
      </w:pPr>
      <w:r>
        <w:rPr>
          <w:b/>
          <w:spacing w:val="-2"/>
          <w:sz w:val="24"/>
        </w:rPr>
        <w:t>REQUESTS:</w:t>
      </w:r>
    </w:p>
    <w:p>
      <w:pPr>
        <w:pStyle w:val="BodyText"/>
        <w:rPr>
          <w:sz w:val="26"/>
        </w:rPr>
      </w:pPr>
    </w:p>
    <w:p>
      <w:pPr>
        <w:pStyle w:val="BodyText"/>
        <w:spacing w:before="9"/>
        <w:rPr>
          <w:sz w:val="21"/>
        </w:rPr>
      </w:pPr>
    </w:p>
    <w:p>
      <w:pPr>
        <w:pStyle w:val="ListParagraph"/>
        <w:numPr>
          <w:ilvl w:val="1"/>
          <w:numId w:val="1"/>
        </w:numPr>
        <w:tabs>
          <w:tab w:pos="1540" w:val="left" w:leader="none"/>
        </w:tabs>
        <w:spacing w:line="360" w:lineRule="auto" w:before="0" w:after="0"/>
        <w:ind w:left="1540" w:right="101" w:hanging="360"/>
        <w:jc w:val="both"/>
        <w:rPr>
          <w:b/>
          <w:sz w:val="24"/>
        </w:rPr>
      </w:pPr>
      <w:r>
        <w:rPr>
          <w:b/>
          <w:sz w:val="24"/>
        </w:rPr>
        <w:t>each Member State present to secure copies of the amended draft</w:t>
      </w:r>
      <w:r>
        <w:rPr>
          <w:b/>
          <w:spacing w:val="40"/>
          <w:sz w:val="24"/>
        </w:rPr>
        <w:t> </w:t>
      </w:r>
      <w:r>
        <w:rPr>
          <w:b/>
          <w:sz w:val="24"/>
        </w:rPr>
        <w:t>Convention</w:t>
      </w:r>
      <w:r>
        <w:rPr>
          <w:b/>
          <w:spacing w:val="-3"/>
          <w:sz w:val="24"/>
        </w:rPr>
        <w:t> </w:t>
      </w:r>
      <w:r>
        <w:rPr>
          <w:b/>
          <w:sz w:val="24"/>
        </w:rPr>
        <w:t>as</w:t>
      </w:r>
      <w:r>
        <w:rPr>
          <w:b/>
          <w:spacing w:val="-3"/>
          <w:sz w:val="24"/>
        </w:rPr>
        <w:t> </w:t>
      </w:r>
      <w:r>
        <w:rPr>
          <w:b/>
          <w:sz w:val="24"/>
        </w:rPr>
        <w:t>contained</w:t>
      </w:r>
      <w:r>
        <w:rPr>
          <w:b/>
          <w:spacing w:val="-3"/>
          <w:sz w:val="24"/>
        </w:rPr>
        <w:t> </w:t>
      </w:r>
      <w:r>
        <w:rPr>
          <w:b/>
          <w:sz w:val="24"/>
        </w:rPr>
        <w:t>in</w:t>
      </w:r>
      <w:r>
        <w:rPr>
          <w:b/>
          <w:spacing w:val="-3"/>
          <w:sz w:val="24"/>
        </w:rPr>
        <w:t> </w:t>
      </w:r>
      <w:r>
        <w:rPr>
          <w:b/>
          <w:sz w:val="24"/>
        </w:rPr>
        <w:t>document</w:t>
      </w:r>
      <w:r>
        <w:rPr>
          <w:b/>
          <w:spacing w:val="-3"/>
          <w:sz w:val="24"/>
        </w:rPr>
        <w:t> </w:t>
      </w:r>
      <w:r>
        <w:rPr>
          <w:b/>
          <w:sz w:val="24"/>
        </w:rPr>
        <w:t>CM/205</w:t>
      </w:r>
      <w:r>
        <w:rPr>
          <w:b/>
          <w:spacing w:val="-3"/>
          <w:sz w:val="24"/>
        </w:rPr>
        <w:t> </w:t>
      </w:r>
      <w:r>
        <w:rPr>
          <w:b/>
          <w:sz w:val="24"/>
        </w:rPr>
        <w:t>before</w:t>
      </w:r>
      <w:r>
        <w:rPr>
          <w:b/>
          <w:spacing w:val="-3"/>
          <w:sz w:val="24"/>
        </w:rPr>
        <w:t> </w:t>
      </w:r>
      <w:r>
        <w:rPr>
          <w:b/>
          <w:sz w:val="24"/>
        </w:rPr>
        <w:t>leaving</w:t>
      </w:r>
      <w:r>
        <w:rPr>
          <w:b/>
          <w:spacing w:val="-3"/>
          <w:sz w:val="24"/>
        </w:rPr>
        <w:t> </w:t>
      </w:r>
      <w:r>
        <w:rPr>
          <w:b/>
          <w:sz w:val="24"/>
        </w:rPr>
        <w:t>Addis</w:t>
      </w:r>
      <w:r>
        <w:rPr>
          <w:b/>
          <w:spacing w:val="-3"/>
          <w:sz w:val="24"/>
        </w:rPr>
        <w:t> </w:t>
      </w:r>
      <w:r>
        <w:rPr>
          <w:b/>
          <w:sz w:val="24"/>
        </w:rPr>
        <w:t>Ababa</w:t>
      </w:r>
      <w:r>
        <w:rPr>
          <w:b/>
          <w:spacing w:val="-3"/>
          <w:sz w:val="24"/>
        </w:rPr>
        <w:t> </w:t>
      </w:r>
      <w:r>
        <w:rPr>
          <w:b/>
          <w:sz w:val="24"/>
        </w:rPr>
        <w:t>at the end of the 10</w:t>
      </w:r>
      <w:r>
        <w:rPr>
          <w:b/>
          <w:sz w:val="24"/>
          <w:vertAlign w:val="superscript"/>
        </w:rPr>
        <w:t>t</w:t>
      </w:r>
      <w:r>
        <w:rPr>
          <w:b/>
          <w:sz w:val="24"/>
          <w:vertAlign w:val="superscript"/>
        </w:rPr>
        <w:t>h</w:t>
      </w:r>
      <w:r>
        <w:rPr>
          <w:b/>
          <w:sz w:val="24"/>
          <w:vertAlign w:val="baseline"/>
        </w:rPr>
        <w:t> Ordinary Session of the Council of Ministers;</w:t>
      </w:r>
    </w:p>
    <w:p>
      <w:pPr>
        <w:pStyle w:val="BodyText"/>
        <w:rPr>
          <w:sz w:val="36"/>
        </w:rPr>
      </w:pPr>
    </w:p>
    <w:p>
      <w:pPr>
        <w:pStyle w:val="ListParagraph"/>
        <w:numPr>
          <w:ilvl w:val="1"/>
          <w:numId w:val="1"/>
        </w:numPr>
        <w:tabs>
          <w:tab w:pos="1541" w:val="left" w:leader="none"/>
        </w:tabs>
        <w:spacing w:line="362" w:lineRule="auto" w:before="0" w:after="0"/>
        <w:ind w:left="1540" w:right="111" w:hanging="360"/>
        <w:jc w:val="both"/>
        <w:rPr>
          <w:b/>
          <w:sz w:val="24"/>
        </w:rPr>
      </w:pPr>
      <w:r>
        <w:rPr>
          <w:b/>
          <w:sz w:val="24"/>
        </w:rPr>
        <w:t>that the said document CM/205 be presented to their Government for final </w:t>
      </w:r>
      <w:r>
        <w:rPr>
          <w:b/>
          <w:spacing w:val="-2"/>
          <w:sz w:val="24"/>
        </w:rPr>
        <w:t>examination;</w:t>
      </w:r>
    </w:p>
    <w:p>
      <w:pPr>
        <w:pStyle w:val="BodyText"/>
        <w:spacing w:before="7"/>
        <w:rPr>
          <w:sz w:val="35"/>
        </w:rPr>
      </w:pPr>
    </w:p>
    <w:p>
      <w:pPr>
        <w:pStyle w:val="ListParagraph"/>
        <w:numPr>
          <w:ilvl w:val="1"/>
          <w:numId w:val="1"/>
        </w:numPr>
        <w:tabs>
          <w:tab w:pos="1541" w:val="left" w:leader="none"/>
        </w:tabs>
        <w:spacing w:line="360" w:lineRule="auto" w:before="0" w:after="0"/>
        <w:ind w:left="1540" w:right="109" w:hanging="360"/>
        <w:jc w:val="both"/>
        <w:rPr>
          <w:b/>
          <w:sz w:val="24"/>
        </w:rPr>
      </w:pPr>
      <w:r>
        <w:rPr>
          <w:b/>
          <w:sz w:val="24"/>
        </w:rPr>
        <w:t>that States with any additional observations or comments should forward then to reach the General Secretariat in Addis Ababa, before 30 June 1968 and that such observations or comments be circulated for discussion in the next meeting of the Council of Ministers in September 1968;</w:t>
      </w:r>
    </w:p>
    <w:p>
      <w:pPr>
        <w:pStyle w:val="BodyText"/>
        <w:spacing w:before="11"/>
        <w:rPr>
          <w:sz w:val="35"/>
        </w:rPr>
      </w:pPr>
    </w:p>
    <w:p>
      <w:pPr>
        <w:pStyle w:val="ListParagraph"/>
        <w:numPr>
          <w:ilvl w:val="1"/>
          <w:numId w:val="1"/>
        </w:numPr>
        <w:tabs>
          <w:tab w:pos="1541" w:val="left" w:leader="none"/>
        </w:tabs>
        <w:spacing w:line="362" w:lineRule="auto" w:before="0" w:after="0"/>
        <w:ind w:left="1540" w:right="100" w:hanging="360"/>
        <w:jc w:val="both"/>
        <w:rPr>
          <w:b/>
          <w:sz w:val="24"/>
        </w:rPr>
      </w:pPr>
      <w:r>
        <w:rPr>
          <w:b/>
          <w:sz w:val="24"/>
        </w:rPr>
        <w:t>that if no comments are received by 30 June 1968, the Administrative Secretary-General</w:t>
      </w:r>
      <w:r>
        <w:rPr>
          <w:b/>
          <w:spacing w:val="80"/>
          <w:sz w:val="24"/>
        </w:rPr>
        <w:t> </w:t>
      </w:r>
      <w:r>
        <w:rPr>
          <w:b/>
          <w:sz w:val="24"/>
        </w:rPr>
        <w:t>should</w:t>
      </w:r>
      <w:r>
        <w:rPr>
          <w:b/>
          <w:spacing w:val="80"/>
          <w:sz w:val="24"/>
        </w:rPr>
        <w:t> </w:t>
      </w:r>
      <w:r>
        <w:rPr>
          <w:b/>
          <w:sz w:val="24"/>
        </w:rPr>
        <w:t>prepare</w:t>
      </w:r>
      <w:r>
        <w:rPr>
          <w:b/>
          <w:spacing w:val="80"/>
          <w:sz w:val="24"/>
        </w:rPr>
        <w:t> </w:t>
      </w:r>
      <w:r>
        <w:rPr>
          <w:b/>
          <w:sz w:val="24"/>
        </w:rPr>
        <w:t>the</w:t>
      </w:r>
      <w:r>
        <w:rPr>
          <w:b/>
          <w:spacing w:val="80"/>
          <w:sz w:val="24"/>
        </w:rPr>
        <w:t> </w:t>
      </w:r>
      <w:r>
        <w:rPr>
          <w:b/>
          <w:sz w:val="24"/>
        </w:rPr>
        <w:t>convention</w:t>
      </w:r>
      <w:r>
        <w:rPr>
          <w:b/>
          <w:spacing w:val="80"/>
          <w:sz w:val="24"/>
        </w:rPr>
        <w:t> </w:t>
      </w:r>
      <w:r>
        <w:rPr>
          <w:b/>
          <w:sz w:val="24"/>
        </w:rPr>
        <w:t>for</w:t>
      </w:r>
      <w:r>
        <w:rPr>
          <w:b/>
          <w:spacing w:val="80"/>
          <w:sz w:val="24"/>
        </w:rPr>
        <w:t> </w:t>
      </w:r>
      <w:r>
        <w:rPr>
          <w:b/>
          <w:sz w:val="24"/>
        </w:rPr>
        <w:t>adopting</w:t>
      </w:r>
      <w:r>
        <w:rPr>
          <w:b/>
          <w:spacing w:val="80"/>
          <w:sz w:val="24"/>
        </w:rPr>
        <w:t> </w:t>
      </w:r>
      <w:r>
        <w:rPr>
          <w:b/>
          <w:sz w:val="24"/>
        </w:rPr>
        <w:t>by</w:t>
      </w:r>
      <w:r>
        <w:rPr>
          <w:b/>
          <w:spacing w:val="80"/>
          <w:sz w:val="24"/>
        </w:rPr>
        <w:t> </w:t>
      </w:r>
      <w:r>
        <w:rPr>
          <w:b/>
          <w:sz w:val="24"/>
        </w:rPr>
        <w:t>the</w:t>
      </w:r>
    </w:p>
    <w:p>
      <w:pPr>
        <w:spacing w:after="0" w:line="362" w:lineRule="auto"/>
        <w:jc w:val="both"/>
        <w:rPr>
          <w:sz w:val="24"/>
        </w:rPr>
        <w:sectPr>
          <w:headerReference w:type="default" r:id="rId5"/>
          <w:type w:val="continuous"/>
          <w:pgSz w:w="12240" w:h="15840"/>
          <w:pgMar w:header="727" w:footer="0" w:top="980" w:bottom="280" w:left="1340" w:right="1340"/>
          <w:pgNumType w:start="1"/>
        </w:sectPr>
      </w:pPr>
    </w:p>
    <w:p>
      <w:pPr>
        <w:pStyle w:val="BodyText"/>
        <w:spacing w:line="360" w:lineRule="auto"/>
        <w:ind w:left="1540" w:right="109"/>
        <w:jc w:val="both"/>
      </w:pPr>
      <w:r>
        <w:rPr/>
        <w:t>Eleventh Ordinary Session of the Council of Ministers and approval by the Fifth Ordinary Session of the Assembly of Heads of State and Government thus opening it for signature and subsequent ratification and application by Member States.</w:t>
      </w:r>
    </w:p>
    <w:sectPr>
      <w:pgSz w:w="12240" w:h="15840"/>
      <w:pgMar w:header="727" w:footer="0" w:top="9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53.079987pt;margin-top:35.346642pt;width:87.75pt;height:15.3pt;mso-position-horizontal-relative:page;mso-position-vertical-relative:page;z-index:-15759360" type="#_x0000_t202" id="docshape1" filled="false" stroked="false">
          <v:textbox inset="0,0,0,0">
            <w:txbxContent>
              <w:p>
                <w:pPr>
                  <w:pStyle w:val="BodyText"/>
                  <w:spacing w:before="10"/>
                  <w:ind w:left="20"/>
                </w:pPr>
                <w:r>
                  <w:rPr/>
                  <w:t>CM/Res.</w:t>
                </w:r>
                <w:r>
                  <w:rPr>
                    <w:spacing w:val="-2"/>
                  </w:rPr>
                  <w:t> </w:t>
                </w:r>
                <w:r>
                  <w:rPr/>
                  <w:t>145</w:t>
                </w:r>
                <w:r>
                  <w:rPr>
                    <w:spacing w:val="-4"/>
                  </w:rPr>
                  <w:t> </w:t>
                </w:r>
                <w:r>
                  <w:rPr>
                    <w:spacing w:val="-5"/>
                  </w:rPr>
                  <w:t>(X)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0" w:hanging="360"/>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lowerLetter"/>
      <w:lvlText w:val="(%2)"/>
      <w:lvlJc w:val="left"/>
      <w:pPr>
        <w:ind w:left="1540" w:hanging="36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431" w:hanging="360"/>
      </w:pPr>
      <w:rPr>
        <w:rFonts w:hint="default"/>
        <w:lang w:val="en-US" w:eastAsia="en-US" w:bidi="ar-SA"/>
      </w:rPr>
    </w:lvl>
    <w:lvl w:ilvl="3">
      <w:start w:val="0"/>
      <w:numFmt w:val="bullet"/>
      <w:lvlText w:val="•"/>
      <w:lvlJc w:val="left"/>
      <w:pPr>
        <w:ind w:left="3322" w:hanging="360"/>
      </w:pPr>
      <w:rPr>
        <w:rFonts w:hint="default"/>
        <w:lang w:val="en-US" w:eastAsia="en-US" w:bidi="ar-SA"/>
      </w:rPr>
    </w:lvl>
    <w:lvl w:ilvl="4">
      <w:start w:val="0"/>
      <w:numFmt w:val="bullet"/>
      <w:lvlText w:val="•"/>
      <w:lvlJc w:val="left"/>
      <w:pPr>
        <w:ind w:left="4213" w:hanging="360"/>
      </w:pPr>
      <w:rPr>
        <w:rFonts w:hint="default"/>
        <w:lang w:val="en-US" w:eastAsia="en-US" w:bidi="ar-SA"/>
      </w:rPr>
    </w:lvl>
    <w:lvl w:ilvl="5">
      <w:start w:val="0"/>
      <w:numFmt w:val="bullet"/>
      <w:lvlText w:val="•"/>
      <w:lvlJc w:val="left"/>
      <w:pPr>
        <w:ind w:left="5104" w:hanging="360"/>
      </w:pPr>
      <w:rPr>
        <w:rFonts w:hint="default"/>
        <w:lang w:val="en-US" w:eastAsia="en-US" w:bidi="ar-SA"/>
      </w:rPr>
    </w:lvl>
    <w:lvl w:ilvl="6">
      <w:start w:val="0"/>
      <w:numFmt w:val="bullet"/>
      <w:lvlText w:val="•"/>
      <w:lvlJc w:val="left"/>
      <w:pPr>
        <w:ind w:left="5995" w:hanging="360"/>
      </w:pPr>
      <w:rPr>
        <w:rFonts w:hint="default"/>
        <w:lang w:val="en-US" w:eastAsia="en-US" w:bidi="ar-SA"/>
      </w:rPr>
    </w:lvl>
    <w:lvl w:ilvl="7">
      <w:start w:val="0"/>
      <w:numFmt w:val="bullet"/>
      <w:lvlText w:val="•"/>
      <w:lvlJc w:val="left"/>
      <w:pPr>
        <w:ind w:left="6886" w:hanging="360"/>
      </w:pPr>
      <w:rPr>
        <w:rFonts w:hint="default"/>
        <w:lang w:val="en-US" w:eastAsia="en-US" w:bidi="ar-SA"/>
      </w:rPr>
    </w:lvl>
    <w:lvl w:ilvl="8">
      <w:start w:val="0"/>
      <w:numFmt w:val="bullet"/>
      <w:lvlText w:val="•"/>
      <w:lvlJc w:val="left"/>
      <w:pPr>
        <w:ind w:left="777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54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TENTH ORDINARY SESSION OF THE COUNCIL OF MINISTERS HELD IN ADDIS ABABA, ETHIOPIA, FROM 20 TO 24 FEBRUARY 1968</dc:title>
  <dcterms:created xsi:type="dcterms:W3CDTF">2023-06-06T12:57:59Z</dcterms:created>
  <dcterms:modified xsi:type="dcterms:W3CDTF">2023-06-06T12:57:59Z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