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152 </w:t>
      </w:r>
      <w:r>
        <w:rPr>
          <w:spacing w:val="-4"/>
        </w:rPr>
        <w:t>(XI)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462" w:right="2475"/>
        <w:jc w:val="center"/>
      </w:pPr>
      <w:r>
        <w:rPr/>
        <w:t>RESOLUTION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COMORO</w:t>
      </w:r>
      <w:r>
        <w:rPr>
          <w:spacing w:val="-2"/>
        </w:rPr>
        <w:t> ISLANDS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Reaffirming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inalienable</w:t>
      </w:r>
      <w:r>
        <w:rPr>
          <w:spacing w:val="-15"/>
        </w:rPr>
        <w:t> </w:t>
      </w:r>
      <w:r>
        <w:rPr/>
        <w:t>rights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peoples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territories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freedom</w:t>
      </w:r>
      <w:r>
        <w:rPr>
          <w:spacing w:val="-15"/>
        </w:rPr>
        <w:t> </w:t>
      </w:r>
      <w:r>
        <w:rPr/>
        <w:t>and </w:t>
      </w:r>
      <w:r>
        <w:rPr>
          <w:spacing w:val="-2"/>
        </w:rPr>
        <w:t>independence,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/>
      </w:pPr>
      <w:r>
        <w:rPr>
          <w:u w:val="single"/>
        </w:rPr>
        <w:t>Considering</w:t>
      </w:r>
      <w:r>
        <w:rPr/>
        <w:t> that the Comoro Island are not inscribed on the list of colonial Territories under the terms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Declaration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Granting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Independence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Colonial</w:t>
      </w:r>
      <w:r>
        <w:rPr>
          <w:spacing w:val="-8"/>
        </w:rPr>
        <w:t> </w:t>
      </w:r>
      <w:r>
        <w:rPr/>
        <w:t>Countries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Peoples,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Having</w:t>
      </w:r>
      <w:r>
        <w:rPr>
          <w:spacing w:val="-8"/>
        </w:rPr>
        <w:t> </w:t>
      </w:r>
      <w:r>
        <w:rPr/>
        <w:t>regard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Declaration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Granting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Independence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Colonial</w:t>
      </w:r>
      <w:r>
        <w:rPr>
          <w:spacing w:val="-8"/>
        </w:rPr>
        <w:t> </w:t>
      </w:r>
      <w:r>
        <w:rPr/>
        <w:t>Countries</w:t>
      </w:r>
      <w:r>
        <w:rPr>
          <w:spacing w:val="-8"/>
        </w:rPr>
        <w:t> </w:t>
      </w:r>
      <w:r>
        <w:rPr/>
        <w:t>and Peoples contained in Resolution 1514 (XV) of the United Nations General Assembly,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93" w:hanging="720"/>
        <w:jc w:val="left"/>
        <w:rPr>
          <w:sz w:val="24"/>
        </w:rPr>
      </w:pPr>
      <w:r>
        <w:rPr>
          <w:sz w:val="24"/>
        </w:rPr>
        <w:t>CALLS UPON the French Government to take immediate measures to enable the people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Comoro</w:t>
      </w:r>
      <w:r>
        <w:rPr>
          <w:spacing w:val="-13"/>
          <w:sz w:val="24"/>
        </w:rPr>
        <w:t> </w:t>
      </w:r>
      <w:r>
        <w:rPr>
          <w:sz w:val="24"/>
        </w:rPr>
        <w:t>Islands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exercise</w:t>
      </w:r>
      <w:r>
        <w:rPr>
          <w:spacing w:val="-12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inalienable</w:t>
      </w:r>
      <w:r>
        <w:rPr>
          <w:spacing w:val="-12"/>
          <w:sz w:val="24"/>
        </w:rPr>
        <w:t> </w:t>
      </w:r>
      <w:r>
        <w:rPr>
          <w:sz w:val="24"/>
        </w:rPr>
        <w:t>right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self</w:t>
      </w:r>
      <w:r>
        <w:rPr>
          <w:spacing w:val="-12"/>
          <w:sz w:val="24"/>
        </w:rPr>
        <w:t> </w:t>
      </w:r>
      <w:r>
        <w:rPr>
          <w:sz w:val="24"/>
        </w:rPr>
        <w:t>determination and independence;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644" w:hanging="721"/>
        <w:jc w:val="both"/>
        <w:rPr>
          <w:sz w:val="24"/>
        </w:rPr>
      </w:pPr>
      <w:r>
        <w:rPr>
          <w:sz w:val="24"/>
        </w:rPr>
        <w:t>INVITES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African</w:t>
      </w:r>
      <w:r>
        <w:rPr>
          <w:spacing w:val="-5"/>
          <w:sz w:val="24"/>
        </w:rPr>
        <w:t> </w:t>
      </w:r>
      <w:r>
        <w:rPr>
          <w:sz w:val="24"/>
        </w:rPr>
        <w:t>Group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United</w:t>
      </w:r>
      <w:r>
        <w:rPr>
          <w:spacing w:val="-5"/>
          <w:sz w:val="24"/>
        </w:rPr>
        <w:t> </w:t>
      </w:r>
      <w:r>
        <w:rPr>
          <w:sz w:val="24"/>
        </w:rPr>
        <w:t>Nations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request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inclusion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 Comoro</w:t>
      </w:r>
      <w:r>
        <w:rPr>
          <w:spacing w:val="-12"/>
          <w:sz w:val="24"/>
        </w:rPr>
        <w:t> </w:t>
      </w:r>
      <w:r>
        <w:rPr>
          <w:sz w:val="24"/>
        </w:rPr>
        <w:t>Islands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list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non-self-governing</w:t>
      </w:r>
      <w:r>
        <w:rPr>
          <w:spacing w:val="-12"/>
          <w:sz w:val="24"/>
        </w:rPr>
        <w:t> </w:t>
      </w:r>
      <w:r>
        <w:rPr>
          <w:sz w:val="24"/>
        </w:rPr>
        <w:t>territories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Decolonization Committee of the United Nations;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15" w:hanging="720"/>
        <w:jc w:val="left"/>
        <w:rPr>
          <w:sz w:val="24"/>
        </w:rPr>
      </w:pPr>
      <w:r>
        <w:rPr>
          <w:sz w:val="24"/>
        </w:rPr>
        <w:t>ASKS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Administrative</w:t>
      </w:r>
      <w:r>
        <w:rPr>
          <w:spacing w:val="-12"/>
          <w:sz w:val="24"/>
        </w:rPr>
        <w:t> </w:t>
      </w:r>
      <w:r>
        <w:rPr>
          <w:sz w:val="24"/>
        </w:rPr>
        <w:t>Secretary</w:t>
      </w:r>
      <w:r>
        <w:rPr>
          <w:spacing w:val="-13"/>
          <w:sz w:val="24"/>
        </w:rPr>
        <w:t> </w:t>
      </w:r>
      <w:r>
        <w:rPr>
          <w:sz w:val="24"/>
        </w:rPr>
        <w:t>General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communicate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Chairman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 UN</w:t>
      </w:r>
      <w:r>
        <w:rPr>
          <w:spacing w:val="-4"/>
          <w:sz w:val="24"/>
        </w:rPr>
        <w:t> </w:t>
      </w:r>
      <w:r>
        <w:rPr>
          <w:sz w:val="24"/>
        </w:rPr>
        <w:t>Decolonization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request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OAU</w:t>
      </w:r>
      <w:r>
        <w:rPr>
          <w:spacing w:val="-4"/>
          <w:sz w:val="24"/>
        </w:rPr>
        <w:t> </w:t>
      </w:r>
      <w:r>
        <w:rPr>
          <w:sz w:val="24"/>
        </w:rPr>
        <w:t>concerning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inclusion</w:t>
      </w:r>
      <w:r>
        <w:rPr>
          <w:spacing w:val="-4"/>
          <w:sz w:val="24"/>
        </w:rPr>
        <w:t> </w:t>
      </w:r>
      <w:r>
        <w:rPr>
          <w:sz w:val="24"/>
        </w:rPr>
        <w:t>of the Comoro Island on the list of the Decolonization Committee.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39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2023-06-06T12:58:19Z</dcterms:created>
  <dcterms:modified xsi:type="dcterms:W3CDTF">2023-06-06T12:58:19Z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