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183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548" w:right="2120" w:firstLine="1012"/>
      </w:pPr>
      <w:r>
        <w:rPr/>
        <w:t>RESOLUTION ON THE AGREEMENT</w:t>
      </w:r>
      <w:r>
        <w:rPr>
          <w:spacing w:val="-13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OAU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1"/>
        </w:rPr>
        <w:t> </w:t>
      </w:r>
      <w:r>
        <w:rPr/>
        <w:t>discussed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amended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draft</w:t>
      </w:r>
      <w:r>
        <w:rPr>
          <w:spacing w:val="-9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</w:t>
      </w:r>
      <w:r>
        <w:rPr>
          <w:spacing w:val="-11"/>
        </w:rPr>
        <w:t> </w:t>
      </w:r>
      <w:r>
        <w:rPr/>
        <w:t>Health Organization and the Organization of African Unity: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co-operation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8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OAU;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convey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approval;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856" w:hanging="720"/>
        <w:jc w:val="left"/>
        <w:rPr>
          <w:sz w:val="24"/>
        </w:rPr>
      </w:pPr>
      <w:r>
        <w:rPr>
          <w:sz w:val="24"/>
        </w:rPr>
        <w:t>AUTHORIZES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sign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on behalf of the OAU.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2023-06-06T12:59:53Z</dcterms:created>
  <dcterms:modified xsi:type="dcterms:W3CDTF">2023-06-06T12:59:53Z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