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203</w:t>
      </w:r>
      <w:r>
        <w:rPr>
          <w:spacing w:val="-5"/>
        </w:rPr>
        <w:t> </w:t>
      </w:r>
      <w:r>
        <w:rPr>
          <w:spacing w:val="-2"/>
        </w:rPr>
        <w:t>(XIII)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245" w:right="1370" w:hanging="648"/>
      </w:pPr>
      <w:r>
        <w:rPr/>
        <w:t>RESOLUTION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ENLARGEMENT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COMPOSITION OF THE INTERNATIONAL COURT OF JUSTICE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33" w:hanging="1"/>
      </w:pPr>
      <w:r>
        <w:rPr>
          <w:u w:val="single"/>
        </w:rPr>
        <w:t>Convinced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need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equitable</w:t>
      </w:r>
      <w:r>
        <w:rPr>
          <w:spacing w:val="-14"/>
        </w:rPr>
        <w:t> </w:t>
      </w:r>
      <w:r>
        <w:rPr/>
        <w:t>representation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States</w:t>
      </w:r>
      <w:r>
        <w:rPr>
          <w:spacing w:val="-14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principal organs of the United Nations,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333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amendments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Charted</w:t>
      </w:r>
      <w:r>
        <w:rPr>
          <w:spacing w:val="-15"/>
        </w:rPr>
        <w:t> </w:t>
      </w:r>
      <w:r>
        <w:rPr/>
        <w:t>concerning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enlargement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 composition of the Security Council and of the Economic and Social Council,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333" w:hanging="1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present</w:t>
      </w:r>
      <w:r>
        <w:rPr>
          <w:spacing w:val="-10"/>
        </w:rPr>
        <w:t> </w:t>
      </w:r>
      <w:r>
        <w:rPr/>
        <w:t>composition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Court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Justice</w:t>
      </w:r>
      <w:r>
        <w:rPr>
          <w:spacing w:val="-13"/>
        </w:rPr>
        <w:t> </w:t>
      </w:r>
      <w:r>
        <w:rPr/>
        <w:t>does</w:t>
      </w:r>
      <w:r>
        <w:rPr>
          <w:spacing w:val="-13"/>
        </w:rPr>
        <w:t> </w:t>
      </w:r>
      <w:r>
        <w:rPr/>
        <w:t>not</w:t>
      </w:r>
      <w:r>
        <w:rPr>
          <w:spacing w:val="-10"/>
        </w:rPr>
        <w:t> </w:t>
      </w:r>
      <w:r>
        <w:rPr/>
        <w:t>fully reflect an equitable representation of the African continent: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83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raise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question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enlargement</w:t>
      </w:r>
      <w:r>
        <w:rPr>
          <w:spacing w:val="18"/>
          <w:sz w:val="24"/>
        </w:rPr>
        <w:t> </w:t>
      </w:r>
      <w:r>
        <w:rPr>
          <w:sz w:val="24"/>
        </w:rPr>
        <w:t>of the International Court of Justice in the United Nations General Assembly and the Security Council;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41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9"/>
          <w:sz w:val="24"/>
        </w:rPr>
        <w:t> </w:t>
      </w:r>
      <w:r>
        <w:rPr>
          <w:sz w:val="24"/>
        </w:rPr>
        <w:t>FURTHER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question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placed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soon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possible,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 agenda of the Twenty-Fourth Ordinary Session of the United Nations General Assembly, on behalf of the Member States of the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09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concert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efforts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ensure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question</w:t>
      </w:r>
      <w:r>
        <w:rPr>
          <w:spacing w:val="-7"/>
          <w:sz w:val="24"/>
        </w:rPr>
        <w:t> </w:t>
      </w:r>
      <w:r>
        <w:rPr>
          <w:sz w:val="24"/>
        </w:rPr>
        <w:t>is given</w:t>
      </w:r>
      <w:r>
        <w:rPr>
          <w:spacing w:val="-1"/>
          <w:sz w:val="24"/>
        </w:rPr>
        <w:t> </w:t>
      </w:r>
      <w:r>
        <w:rPr>
          <w:sz w:val="24"/>
        </w:rPr>
        <w:t>favourable</w:t>
      </w:r>
      <w:r>
        <w:rPr>
          <w:spacing w:val="-1"/>
          <w:sz w:val="24"/>
        </w:rPr>
        <w:t> </w:t>
      </w:r>
      <w:r>
        <w:rPr>
          <w:sz w:val="24"/>
        </w:rPr>
        <w:t>consideration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Nations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Assembly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Security Council;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161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United</w:t>
      </w:r>
      <w:r>
        <w:rPr>
          <w:spacing w:val="-7"/>
          <w:sz w:val="24"/>
        </w:rPr>
        <w:t> </w:t>
      </w:r>
      <w:r>
        <w:rPr>
          <w:sz w:val="24"/>
        </w:rPr>
        <w:t>Nations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necessary</w:t>
      </w:r>
      <w:r>
        <w:rPr>
          <w:spacing w:val="-7"/>
          <w:sz w:val="24"/>
        </w:rPr>
        <w:t> </w:t>
      </w:r>
      <w:r>
        <w:rPr>
          <w:sz w:val="24"/>
        </w:rPr>
        <w:t>steps</w:t>
      </w:r>
      <w:r>
        <w:rPr>
          <w:spacing w:val="-7"/>
          <w:sz w:val="24"/>
        </w:rPr>
        <w:t> </w:t>
      </w:r>
      <w:r>
        <w:rPr>
          <w:sz w:val="24"/>
        </w:rPr>
        <w:t>to implement the present resolution and to report to the next session of the Council of Ministers of the Organization of African Unity.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6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2023-06-06T13:00:48Z</dcterms:created>
  <dcterms:modified xsi:type="dcterms:W3CDTF">2023-06-06T13:00:48Z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