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223" w:right="111" w:firstLine="5654"/>
      </w:pPr>
      <w:r>
        <w:rPr/>
        <w:t>CM/Res.313</w:t>
      </w:r>
      <w:r>
        <w:rPr>
          <w:spacing w:val="-15"/>
        </w:rPr>
        <w:t> </w:t>
      </w:r>
      <w:r>
        <w:rPr/>
        <w:t>(XXI) </w:t>
      </w:r>
      <w:r>
        <w:rPr>
          <w:u w:val="single"/>
        </w:rPr>
        <w:t>RESOLUTION ON INTERNATIONAL CONTAINER TRAFFIC</w:t>
      </w:r>
    </w:p>
    <w:p>
      <w:pPr>
        <w:pStyle w:val="BodyText"/>
        <w:spacing w:line="360" w:lineRule="auto" w:before="6"/>
        <w:ind w:left="104" w:right="359"/>
      </w:pPr>
      <w:r>
        <w:rPr/>
        <w:t>The</w:t>
      </w:r>
      <w:r>
        <w:rPr>
          <w:spacing w:val="-17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6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59"/>
      </w:pPr>
      <w:r>
        <w:rPr>
          <w:u w:val="single"/>
        </w:rPr>
        <w:t>Taking</w:t>
      </w:r>
      <w:r>
        <w:rPr>
          <w:spacing w:val="-10"/>
          <w:u w:val="single"/>
        </w:rPr>
        <w:t> </w:t>
      </w:r>
      <w:r>
        <w:rPr>
          <w:u w:val="single"/>
        </w:rPr>
        <w:t>note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on International Container Traffic, document CM/519,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111"/>
      </w:pPr>
      <w:r>
        <w:rPr>
          <w:u w:val="single"/>
        </w:rPr>
        <w:t>Noting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countries</w:t>
      </w:r>
      <w:r>
        <w:rPr>
          <w:spacing w:val="-11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11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those</w:t>
      </w:r>
      <w:r>
        <w:rPr>
          <w:spacing w:val="-11"/>
        </w:rPr>
        <w:t> </w:t>
      </w:r>
      <w:r>
        <w:rPr/>
        <w:t>who</w:t>
      </w:r>
      <w:r>
        <w:rPr>
          <w:spacing w:val="-9"/>
        </w:rPr>
        <w:t> </w:t>
      </w:r>
      <w:r>
        <w:rPr/>
        <w:t>are</w:t>
      </w:r>
      <w:r>
        <w:rPr>
          <w:spacing w:val="-11"/>
        </w:rPr>
        <w:t> </w:t>
      </w:r>
      <w:r>
        <w:rPr/>
        <w:t>land</w:t>
      </w:r>
      <w:r>
        <w:rPr>
          <w:spacing w:val="-11"/>
        </w:rPr>
        <w:t> </w:t>
      </w:r>
      <w:r>
        <w:rPr/>
        <w:t>locked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still concerned about the effects of combined haulage of goods,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14" w:hanging="1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E/CONF.59/39/Add.3</w:t>
      </w:r>
      <w:r>
        <w:rPr>
          <w:spacing w:val="-15"/>
        </w:rPr>
        <w:t> </w:t>
      </w:r>
      <w:r>
        <w:rPr/>
        <w:t>adopted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UN/IMCO</w:t>
      </w:r>
      <w:r>
        <w:rPr>
          <w:spacing w:val="-15"/>
        </w:rPr>
        <w:t> </w:t>
      </w:r>
      <w:r>
        <w:rPr/>
        <w:t>Conference</w:t>
      </w:r>
      <w:r>
        <w:rPr>
          <w:spacing w:val="-15"/>
        </w:rPr>
        <w:t> </w:t>
      </w:r>
      <w:r>
        <w:rPr/>
        <w:t>on International Container Traffic, with particular reference to paragraph 9 (a),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1"/>
      </w:pPr>
      <w:r>
        <w:rPr>
          <w:spacing w:val="-2"/>
          <w:u w:val="single"/>
        </w:rPr>
        <w:t>Recalling</w:t>
      </w:r>
      <w:r>
        <w:rPr>
          <w:spacing w:val="-5"/>
        </w:rPr>
        <w:t> </w:t>
      </w:r>
      <w:r>
        <w:rPr>
          <w:spacing w:val="-2"/>
        </w:rPr>
        <w:t>further, the</w:t>
      </w:r>
      <w:r>
        <w:rPr>
          <w:spacing w:val="-5"/>
        </w:rPr>
        <w:t> </w:t>
      </w:r>
      <w:r>
        <w:rPr>
          <w:spacing w:val="-2"/>
        </w:rPr>
        <w:t>recommendations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African</w:t>
      </w:r>
      <w:r>
        <w:rPr>
          <w:spacing w:val="-5"/>
        </w:rPr>
        <w:t> </w:t>
      </w:r>
      <w:r>
        <w:rPr>
          <w:spacing w:val="-2"/>
        </w:rPr>
        <w:t>Ministerial</w:t>
      </w:r>
      <w:r>
        <w:rPr>
          <w:spacing w:val="-5"/>
        </w:rPr>
        <w:t> </w:t>
      </w:r>
      <w:r>
        <w:rPr>
          <w:spacing w:val="-2"/>
        </w:rPr>
        <w:t>Conference</w:t>
      </w:r>
      <w:r>
        <w:rPr>
          <w:spacing w:val="-5"/>
        </w:rPr>
        <w:t> </w:t>
      </w:r>
      <w:r>
        <w:rPr>
          <w:spacing w:val="-2"/>
        </w:rPr>
        <w:t>on</w:t>
      </w:r>
      <w:r>
        <w:rPr>
          <w:spacing w:val="-5"/>
        </w:rPr>
        <w:t> </w:t>
      </w:r>
      <w:r>
        <w:rPr>
          <w:spacing w:val="-2"/>
        </w:rPr>
        <w:t>Trade, </w:t>
      </w:r>
      <w:r>
        <w:rPr/>
        <w:t>Development and Monetary Problems that took place in Abidjan (9</w:t>
      </w:r>
      <w:r>
        <w:rPr>
          <w:spacing w:val="29"/>
        </w:rPr>
        <w:t> </w:t>
      </w:r>
      <w:r>
        <w:rPr/>
        <w:t>– 13 May 1973), especially those related to Maritime Transport,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24" w:val="left" w:leader="none"/>
        </w:tabs>
        <w:spacing w:line="360" w:lineRule="auto"/>
        <w:ind w:left="824" w:right="214" w:hanging="720"/>
      </w:pPr>
      <w:r>
        <w:rPr>
          <w:spacing w:val="-6"/>
        </w:rPr>
        <w:t>1.</w:t>
      </w:r>
      <w:r>
        <w:rPr/>
        <w:tab/>
        <w:t>CALLS on the Administrative Secretary General of the OAU in collaboration</w:t>
      </w:r>
      <w:r>
        <w:rPr/>
        <w:t>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ECA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UNCTAD after having prepared the necessary basic documents to convene a conference of African Experts in the sphere of Maritime Transport and Container Traffic in particular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study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economic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social</w:t>
      </w:r>
      <w:r>
        <w:rPr>
          <w:spacing w:val="-10"/>
        </w:rPr>
        <w:t> </w:t>
      </w:r>
      <w:r>
        <w:rPr/>
        <w:t>effects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mode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on</w:t>
      </w:r>
      <w:r>
        <w:rPr>
          <w:spacing w:val="-10"/>
        </w:rPr>
        <w:t> </w:t>
      </w:r>
      <w:r>
        <w:rPr/>
        <w:t>the development of Africa.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2023-06-06T13:06:15Z</dcterms:created>
  <dcterms:modified xsi:type="dcterms:W3CDTF">2023-06-06T13:06:15Z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