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37"/>
        <w:jc w:val="right"/>
      </w:pPr>
      <w:r>
        <w:rPr/>
        <w:t>CM/Res.317</w:t>
      </w:r>
      <w:r>
        <w:rPr>
          <w:spacing w:val="-12"/>
        </w:rPr>
        <w:t> </w:t>
      </w:r>
      <w:r>
        <w:rPr>
          <w:spacing w:val="-2"/>
        </w:rPr>
        <w:t>(XXII)</w:t>
      </w:r>
    </w:p>
    <w:p>
      <w:pPr>
        <w:pStyle w:val="BodyText"/>
        <w:rPr>
          <w:sz w:val="26"/>
        </w:rPr>
      </w:pPr>
    </w:p>
    <w:p>
      <w:pPr>
        <w:pStyle w:val="BodyText"/>
        <w:spacing w:before="9"/>
        <w:rPr>
          <w:sz w:val="21"/>
        </w:rPr>
      </w:pPr>
    </w:p>
    <w:p>
      <w:pPr>
        <w:pStyle w:val="BodyText"/>
        <w:spacing w:line="360" w:lineRule="auto" w:before="1"/>
        <w:ind w:left="253" w:right="252"/>
        <w:jc w:val="center"/>
      </w:pPr>
      <w:r>
        <w:rPr/>
        <w:pict>
          <v:rect style="position:absolute;margin-left:88.800003pt;margin-top:84.453117pt;width:434.88pt;height:1.44pt;mso-position-horizontal-relative:page;mso-position-vertical-relative:paragraph;z-index:-15728640;mso-wrap-distance-left:0;mso-wrap-distance-right:0" id="docshape1" filled="true" fillcolor="#000000" stroked="false">
            <v:fill type="solid"/>
            <w10:wrap type="topAndBottom"/>
          </v:rect>
        </w:pict>
      </w:r>
      <w:r>
        <w:rPr/>
        <w:t>RESOLUTION</w:t>
      </w:r>
      <w:r>
        <w:rPr>
          <w:spacing w:val="-7"/>
        </w:rPr>
        <w:t> </w:t>
      </w:r>
      <w:r>
        <w:rPr/>
        <w:t>ON</w:t>
      </w:r>
      <w:r>
        <w:rPr>
          <w:spacing w:val="-7"/>
        </w:rPr>
        <w:t> </w:t>
      </w:r>
      <w:r>
        <w:rPr/>
        <w:t>THE</w:t>
      </w:r>
      <w:r>
        <w:rPr>
          <w:spacing w:val="-5"/>
        </w:rPr>
        <w:t> </w:t>
      </w:r>
      <w:r>
        <w:rPr/>
        <w:t>RECOMMENDATIONS</w:t>
      </w:r>
      <w:r>
        <w:rPr>
          <w:spacing w:val="-7"/>
        </w:rPr>
        <w:t> </w:t>
      </w:r>
      <w:r>
        <w:rPr/>
        <w:t>OF</w:t>
      </w:r>
      <w:r>
        <w:rPr>
          <w:spacing w:val="-7"/>
        </w:rPr>
        <w:t> </w:t>
      </w:r>
      <w:r>
        <w:rPr/>
        <w:t>THE</w:t>
      </w:r>
      <w:r>
        <w:rPr>
          <w:spacing w:val="-5"/>
        </w:rPr>
        <w:t> </w:t>
      </w:r>
      <w:r>
        <w:rPr/>
        <w:t>BOARD</w:t>
      </w:r>
      <w:r>
        <w:rPr>
          <w:spacing w:val="-7"/>
        </w:rPr>
        <w:t> </w:t>
      </w:r>
      <w:r>
        <w:rPr/>
        <w:t>OF</w:t>
      </w:r>
      <w:r>
        <w:rPr>
          <w:spacing w:val="-7"/>
        </w:rPr>
        <w:t> </w:t>
      </w:r>
      <w:r>
        <w:rPr/>
        <w:t>EXTERNAL AUDITORS AND THE ADVISORY COMMITTEE ON BUDGETARY AND FINANACIAL MATTERS CONCERNING THE FINANCIAL MANAGEMENT OF THE OAU GENERAL SECRETARIAT</w:t>
      </w:r>
    </w:p>
    <w:p>
      <w:pPr>
        <w:pStyle w:val="BodyText"/>
        <w:spacing w:before="4"/>
        <w:rPr>
          <w:sz w:val="27"/>
        </w:rPr>
      </w:pPr>
    </w:p>
    <w:p>
      <w:pPr>
        <w:pStyle w:val="BodyText"/>
        <w:spacing w:line="360" w:lineRule="auto" w:before="90"/>
        <w:ind w:left="144"/>
      </w:pPr>
      <w:r>
        <w:rPr/>
        <w:t>The</w:t>
      </w:r>
      <w:r>
        <w:rPr>
          <w:spacing w:val="-15"/>
        </w:rPr>
        <w:t> </w:t>
      </w:r>
      <w:r>
        <w:rPr/>
        <w:t>Council</w:t>
      </w:r>
      <w:r>
        <w:rPr>
          <w:spacing w:val="-15"/>
        </w:rPr>
        <w:t> </w:t>
      </w:r>
      <w:r>
        <w:rPr/>
        <w:t>of</w:t>
      </w:r>
      <w:r>
        <w:rPr>
          <w:spacing w:val="-15"/>
        </w:rPr>
        <w:t> </w:t>
      </w:r>
      <w:r>
        <w:rPr/>
        <w:t>Ministers</w:t>
      </w:r>
      <w:r>
        <w:rPr>
          <w:spacing w:val="-14"/>
        </w:rPr>
        <w:t> </w:t>
      </w:r>
      <w:r>
        <w:rPr/>
        <w:t>of</w:t>
      </w:r>
      <w:r>
        <w:rPr>
          <w:spacing w:val="-13"/>
        </w:rPr>
        <w:t> </w:t>
      </w:r>
      <w:r>
        <w:rPr/>
        <w:t>the</w:t>
      </w:r>
      <w:r>
        <w:rPr>
          <w:spacing w:val="-13"/>
        </w:rPr>
        <w:t> </w:t>
      </w:r>
      <w:r>
        <w:rPr/>
        <w:t>OAU</w:t>
      </w:r>
      <w:r>
        <w:rPr>
          <w:spacing w:val="-13"/>
        </w:rPr>
        <w:t> </w:t>
      </w:r>
      <w:r>
        <w:rPr/>
        <w:t>meeting</w:t>
      </w:r>
      <w:r>
        <w:rPr>
          <w:spacing w:val="-13"/>
        </w:rPr>
        <w:t> </w:t>
      </w:r>
      <w:r>
        <w:rPr/>
        <w:t>in</w:t>
      </w:r>
      <w:r>
        <w:rPr>
          <w:spacing w:val="-13"/>
        </w:rPr>
        <w:t> </w:t>
      </w:r>
      <w:r>
        <w:rPr/>
        <w:t>its</w:t>
      </w:r>
      <w:r>
        <w:rPr>
          <w:spacing w:val="-13"/>
        </w:rPr>
        <w:t> </w:t>
      </w:r>
      <w:r>
        <w:rPr/>
        <w:t>Twenty</w:t>
      </w:r>
      <w:r>
        <w:rPr>
          <w:spacing w:val="-13"/>
        </w:rPr>
        <w:t> </w:t>
      </w:r>
      <w:r>
        <w:rPr/>
        <w:t>Second</w:t>
      </w:r>
      <w:r>
        <w:rPr>
          <w:spacing w:val="-13"/>
        </w:rPr>
        <w:t> </w:t>
      </w:r>
      <w:r>
        <w:rPr/>
        <w:t>Ordinary</w:t>
      </w:r>
      <w:r>
        <w:rPr>
          <w:spacing w:val="-13"/>
        </w:rPr>
        <w:t> </w:t>
      </w:r>
      <w:r>
        <w:rPr/>
        <w:t>Session</w:t>
      </w:r>
      <w:r>
        <w:rPr>
          <w:spacing w:val="-13"/>
        </w:rPr>
        <w:t> </w:t>
      </w:r>
      <w:r>
        <w:rPr/>
        <w:t>i</w:t>
      </w:r>
      <w:r>
        <w:rPr>
          <w:spacing w:val="-34"/>
        </w:rPr>
        <w:t> </w:t>
      </w:r>
      <w:r>
        <w:rPr/>
        <w:t>n Kampala, Uganda from 1 to 4 April 1974,</w:t>
      </w:r>
    </w:p>
    <w:p>
      <w:pPr>
        <w:pStyle w:val="BodyText"/>
        <w:spacing w:before="1"/>
        <w:rPr>
          <w:sz w:val="36"/>
        </w:rPr>
      </w:pPr>
    </w:p>
    <w:p>
      <w:pPr>
        <w:pStyle w:val="BodyText"/>
        <w:spacing w:line="360" w:lineRule="auto"/>
        <w:ind w:left="144"/>
      </w:pPr>
      <w:r>
        <w:rPr>
          <w:u w:val="single"/>
        </w:rPr>
        <w:t>Having</w:t>
      </w:r>
      <w:r>
        <w:rPr>
          <w:spacing w:val="-12"/>
          <w:u w:val="single"/>
        </w:rPr>
        <w:t> </w:t>
      </w:r>
      <w:r>
        <w:rPr>
          <w:u w:val="single"/>
        </w:rPr>
        <w:t>heard</w:t>
      </w:r>
      <w:r>
        <w:rPr>
          <w:spacing w:val="-11"/>
        </w:rPr>
        <w:t> </w:t>
      </w:r>
      <w:r>
        <w:rPr/>
        <w:t>the</w:t>
      </w:r>
      <w:r>
        <w:rPr>
          <w:spacing w:val="-12"/>
        </w:rPr>
        <w:t> </w:t>
      </w:r>
      <w:r>
        <w:rPr/>
        <w:t>Report</w:t>
      </w:r>
      <w:r>
        <w:rPr>
          <w:spacing w:val="-9"/>
        </w:rPr>
        <w:t> </w:t>
      </w:r>
      <w:r>
        <w:rPr/>
        <w:t>of</w:t>
      </w:r>
      <w:r>
        <w:rPr>
          <w:spacing w:val="-12"/>
        </w:rPr>
        <w:t> </w:t>
      </w:r>
      <w:r>
        <w:rPr/>
        <w:t>the</w:t>
      </w:r>
      <w:r>
        <w:rPr>
          <w:spacing w:val="-12"/>
        </w:rPr>
        <w:t> </w:t>
      </w:r>
      <w:r>
        <w:rPr/>
        <w:t>Chairman</w:t>
      </w:r>
      <w:r>
        <w:rPr>
          <w:spacing w:val="-12"/>
        </w:rPr>
        <w:t> </w:t>
      </w:r>
      <w:r>
        <w:rPr/>
        <w:t>of</w:t>
      </w:r>
      <w:r>
        <w:rPr>
          <w:spacing w:val="-12"/>
        </w:rPr>
        <w:t> </w:t>
      </w:r>
      <w:r>
        <w:rPr/>
        <w:t>the</w:t>
      </w:r>
      <w:r>
        <w:rPr>
          <w:spacing w:val="-12"/>
        </w:rPr>
        <w:t> </w:t>
      </w:r>
      <w:r>
        <w:rPr/>
        <w:t>OAU</w:t>
      </w:r>
      <w:r>
        <w:rPr>
          <w:spacing w:val="-12"/>
        </w:rPr>
        <w:t> </w:t>
      </w:r>
      <w:r>
        <w:rPr/>
        <w:t>Advisory</w:t>
      </w:r>
      <w:r>
        <w:rPr>
          <w:spacing w:val="-12"/>
        </w:rPr>
        <w:t> </w:t>
      </w:r>
      <w:r>
        <w:rPr/>
        <w:t>Committee</w:t>
      </w:r>
      <w:r>
        <w:rPr>
          <w:spacing w:val="-12"/>
        </w:rPr>
        <w:t> </w:t>
      </w:r>
      <w:r>
        <w:rPr/>
        <w:t>on</w:t>
      </w:r>
      <w:r>
        <w:rPr>
          <w:spacing w:val="-12"/>
        </w:rPr>
        <w:t> </w:t>
      </w:r>
      <w:r>
        <w:rPr/>
        <w:t>Budgetary and financial Matters CM/543 (XXII);</w:t>
      </w:r>
    </w:p>
    <w:p>
      <w:pPr>
        <w:pStyle w:val="BodyText"/>
        <w:spacing w:before="1"/>
        <w:rPr>
          <w:sz w:val="36"/>
        </w:rPr>
      </w:pPr>
    </w:p>
    <w:p>
      <w:pPr>
        <w:pStyle w:val="BodyText"/>
        <w:spacing w:line="360" w:lineRule="auto" w:before="1"/>
        <w:ind w:left="144" w:right="535"/>
      </w:pPr>
      <w:r>
        <w:rPr>
          <w:u w:val="single"/>
        </w:rPr>
        <w:t>Having</w:t>
      </w:r>
      <w:r>
        <w:rPr>
          <w:spacing w:val="-15"/>
          <w:u w:val="single"/>
        </w:rPr>
        <w:t> </w:t>
      </w:r>
      <w:r>
        <w:rPr>
          <w:u w:val="single"/>
        </w:rPr>
        <w:t>examined</w:t>
      </w:r>
      <w:r>
        <w:rPr>
          <w:spacing w:val="-15"/>
        </w:rPr>
        <w:t> </w:t>
      </w:r>
      <w:r>
        <w:rPr/>
        <w:t>the</w:t>
      </w:r>
      <w:r>
        <w:rPr>
          <w:spacing w:val="-15"/>
        </w:rPr>
        <w:t> </w:t>
      </w:r>
      <w:r>
        <w:rPr/>
        <w:t>Financial</w:t>
      </w:r>
      <w:r>
        <w:rPr>
          <w:spacing w:val="-15"/>
        </w:rPr>
        <w:t> </w:t>
      </w:r>
      <w:r>
        <w:rPr/>
        <w:t>Report</w:t>
      </w:r>
      <w:r>
        <w:rPr>
          <w:spacing w:val="-15"/>
        </w:rPr>
        <w:t> </w:t>
      </w:r>
      <w:r>
        <w:rPr/>
        <w:t>submitted</w:t>
      </w:r>
      <w:r>
        <w:rPr>
          <w:spacing w:val="-15"/>
        </w:rPr>
        <w:t> </w:t>
      </w:r>
      <w:r>
        <w:rPr/>
        <w:t>by</w:t>
      </w:r>
      <w:r>
        <w:rPr>
          <w:spacing w:val="-15"/>
        </w:rPr>
        <w:t> </w:t>
      </w:r>
      <w:r>
        <w:rPr/>
        <w:t>the</w:t>
      </w:r>
      <w:r>
        <w:rPr>
          <w:spacing w:val="-15"/>
        </w:rPr>
        <w:t> </w:t>
      </w:r>
      <w:r>
        <w:rPr/>
        <w:t>General</w:t>
      </w:r>
      <w:r>
        <w:rPr>
          <w:spacing w:val="-15"/>
        </w:rPr>
        <w:t> </w:t>
      </w:r>
      <w:r>
        <w:rPr/>
        <w:t>Secretariat</w:t>
      </w:r>
      <w:r>
        <w:rPr>
          <w:spacing w:val="-15"/>
        </w:rPr>
        <w:t> </w:t>
      </w:r>
      <w:r>
        <w:rPr/>
        <w:t>(document CM/539) and the Report of the Board of External Auditors for the Financial Year 1972/73 – CM/539 (XXII)</w:t>
      </w:r>
    </w:p>
    <w:p>
      <w:pPr>
        <w:pStyle w:val="BodyText"/>
        <w:rPr>
          <w:sz w:val="36"/>
        </w:rPr>
      </w:pPr>
    </w:p>
    <w:p>
      <w:pPr>
        <w:pStyle w:val="ListParagraph"/>
        <w:numPr>
          <w:ilvl w:val="0"/>
          <w:numId w:val="1"/>
        </w:numPr>
        <w:tabs>
          <w:tab w:pos="864" w:val="left" w:leader="none"/>
          <w:tab w:pos="865" w:val="left" w:leader="none"/>
        </w:tabs>
        <w:spacing w:line="360" w:lineRule="auto" w:before="0" w:after="0"/>
        <w:ind w:left="864" w:right="512" w:hanging="720"/>
        <w:jc w:val="left"/>
        <w:rPr>
          <w:sz w:val="24"/>
        </w:rPr>
      </w:pPr>
      <w:r>
        <w:rPr>
          <w:sz w:val="24"/>
        </w:rPr>
        <w:t>TAKES</w:t>
      </w:r>
      <w:r>
        <w:rPr>
          <w:spacing w:val="-14"/>
          <w:sz w:val="24"/>
        </w:rPr>
        <w:t> </w:t>
      </w:r>
      <w:r>
        <w:rPr>
          <w:sz w:val="24"/>
        </w:rPr>
        <w:t>NOTE</w:t>
      </w:r>
      <w:r>
        <w:rPr>
          <w:spacing w:val="-12"/>
          <w:sz w:val="24"/>
        </w:rPr>
        <w:t> </w:t>
      </w:r>
      <w:r>
        <w:rPr>
          <w:sz w:val="24"/>
        </w:rPr>
        <w:t>of</w:t>
      </w:r>
      <w:r>
        <w:rPr>
          <w:spacing w:val="-14"/>
          <w:sz w:val="24"/>
        </w:rPr>
        <w:t> </w:t>
      </w:r>
      <w:r>
        <w:rPr>
          <w:sz w:val="24"/>
        </w:rPr>
        <w:t>the</w:t>
      </w:r>
      <w:r>
        <w:rPr>
          <w:spacing w:val="-14"/>
          <w:sz w:val="24"/>
        </w:rPr>
        <w:t> </w:t>
      </w:r>
      <w:r>
        <w:rPr>
          <w:sz w:val="24"/>
        </w:rPr>
        <w:t>Financial</w:t>
      </w:r>
      <w:r>
        <w:rPr>
          <w:spacing w:val="-14"/>
          <w:sz w:val="24"/>
        </w:rPr>
        <w:t> </w:t>
      </w:r>
      <w:r>
        <w:rPr>
          <w:sz w:val="24"/>
        </w:rPr>
        <w:t>report</w:t>
      </w:r>
      <w:r>
        <w:rPr>
          <w:spacing w:val="-12"/>
          <w:sz w:val="24"/>
        </w:rPr>
        <w:t> </w:t>
      </w:r>
      <w:r>
        <w:rPr>
          <w:sz w:val="24"/>
        </w:rPr>
        <w:t>for</w:t>
      </w:r>
      <w:r>
        <w:rPr>
          <w:spacing w:val="-13"/>
          <w:sz w:val="24"/>
        </w:rPr>
        <w:t> </w:t>
      </w:r>
      <w:r>
        <w:rPr>
          <w:sz w:val="24"/>
        </w:rPr>
        <w:t>the</w:t>
      </w:r>
      <w:r>
        <w:rPr>
          <w:spacing w:val="-14"/>
          <w:sz w:val="24"/>
        </w:rPr>
        <w:t> </w:t>
      </w:r>
      <w:r>
        <w:rPr>
          <w:sz w:val="24"/>
        </w:rPr>
        <w:t>Financial</w:t>
      </w:r>
      <w:r>
        <w:rPr>
          <w:spacing w:val="-14"/>
          <w:sz w:val="24"/>
        </w:rPr>
        <w:t> </w:t>
      </w:r>
      <w:r>
        <w:rPr>
          <w:sz w:val="24"/>
        </w:rPr>
        <w:t>year</w:t>
      </w:r>
      <w:r>
        <w:rPr>
          <w:spacing w:val="-13"/>
          <w:sz w:val="24"/>
        </w:rPr>
        <w:t> </w:t>
      </w:r>
      <w:r>
        <w:rPr>
          <w:sz w:val="24"/>
        </w:rPr>
        <w:t>1972/73</w:t>
      </w:r>
      <w:r>
        <w:rPr>
          <w:spacing w:val="-14"/>
          <w:sz w:val="24"/>
        </w:rPr>
        <w:t> </w:t>
      </w:r>
      <w:r>
        <w:rPr>
          <w:sz w:val="24"/>
        </w:rPr>
        <w:t>submitted by the OAU General Secretariat;</w:t>
      </w:r>
    </w:p>
    <w:p>
      <w:pPr>
        <w:pStyle w:val="BodyText"/>
        <w:spacing w:before="8"/>
        <w:rPr>
          <w:sz w:val="35"/>
        </w:rPr>
      </w:pPr>
    </w:p>
    <w:p>
      <w:pPr>
        <w:pStyle w:val="ListParagraph"/>
        <w:numPr>
          <w:ilvl w:val="0"/>
          <w:numId w:val="1"/>
        </w:numPr>
        <w:tabs>
          <w:tab w:pos="864" w:val="left" w:leader="none"/>
          <w:tab w:pos="865" w:val="left" w:leader="none"/>
        </w:tabs>
        <w:spacing w:line="362" w:lineRule="auto" w:before="0" w:after="0"/>
        <w:ind w:left="864" w:right="1268" w:hanging="720"/>
        <w:jc w:val="left"/>
        <w:rPr>
          <w:sz w:val="24"/>
        </w:rPr>
      </w:pPr>
      <w:r>
        <w:rPr>
          <w:sz w:val="24"/>
        </w:rPr>
        <w:t>CONGRATULATES</w:t>
      </w:r>
      <w:r>
        <w:rPr>
          <w:spacing w:val="-10"/>
          <w:sz w:val="24"/>
        </w:rPr>
        <w:t> </w:t>
      </w:r>
      <w:r>
        <w:rPr>
          <w:sz w:val="24"/>
        </w:rPr>
        <w:t>the</w:t>
      </w:r>
      <w:r>
        <w:rPr>
          <w:spacing w:val="-10"/>
          <w:sz w:val="24"/>
        </w:rPr>
        <w:t> </w:t>
      </w:r>
      <w:r>
        <w:rPr>
          <w:sz w:val="24"/>
        </w:rPr>
        <w:t>Board</w:t>
      </w:r>
      <w:r>
        <w:rPr>
          <w:spacing w:val="-10"/>
          <w:sz w:val="24"/>
        </w:rPr>
        <w:t> </w:t>
      </w:r>
      <w:r>
        <w:rPr>
          <w:sz w:val="24"/>
        </w:rPr>
        <w:t>of</w:t>
      </w:r>
      <w:r>
        <w:rPr>
          <w:spacing w:val="-10"/>
          <w:sz w:val="24"/>
        </w:rPr>
        <w:t> </w:t>
      </w:r>
      <w:r>
        <w:rPr>
          <w:sz w:val="24"/>
        </w:rPr>
        <w:t>External</w:t>
      </w:r>
      <w:r>
        <w:rPr>
          <w:spacing w:val="-10"/>
          <w:sz w:val="24"/>
        </w:rPr>
        <w:t> </w:t>
      </w:r>
      <w:r>
        <w:rPr>
          <w:sz w:val="24"/>
        </w:rPr>
        <w:t>Auditors</w:t>
      </w:r>
      <w:r>
        <w:rPr>
          <w:spacing w:val="-10"/>
          <w:sz w:val="24"/>
        </w:rPr>
        <w:t> </w:t>
      </w:r>
      <w:r>
        <w:rPr>
          <w:sz w:val="24"/>
        </w:rPr>
        <w:t>and</w:t>
      </w:r>
      <w:r>
        <w:rPr>
          <w:spacing w:val="-10"/>
          <w:sz w:val="24"/>
        </w:rPr>
        <w:t> </w:t>
      </w:r>
      <w:r>
        <w:rPr>
          <w:sz w:val="24"/>
        </w:rPr>
        <w:t>the</w:t>
      </w:r>
      <w:r>
        <w:rPr>
          <w:spacing w:val="-10"/>
          <w:sz w:val="24"/>
        </w:rPr>
        <w:t> </w:t>
      </w:r>
      <w:r>
        <w:rPr>
          <w:sz w:val="24"/>
        </w:rPr>
        <w:t>Advisory Committee on the detailed and comprehensive reports they submitted;</w:t>
      </w:r>
    </w:p>
    <w:p>
      <w:pPr>
        <w:pStyle w:val="BodyText"/>
        <w:spacing w:before="7"/>
        <w:rPr>
          <w:sz w:val="35"/>
        </w:rPr>
      </w:pPr>
    </w:p>
    <w:p>
      <w:pPr>
        <w:pStyle w:val="ListParagraph"/>
        <w:numPr>
          <w:ilvl w:val="0"/>
          <w:numId w:val="1"/>
        </w:numPr>
        <w:tabs>
          <w:tab w:pos="864" w:val="left" w:leader="none"/>
          <w:tab w:pos="865" w:val="left" w:leader="none"/>
        </w:tabs>
        <w:spacing w:line="360" w:lineRule="auto" w:before="0" w:after="0"/>
        <w:ind w:left="864" w:right="331" w:hanging="720"/>
        <w:jc w:val="left"/>
        <w:rPr>
          <w:sz w:val="24"/>
        </w:rPr>
      </w:pPr>
      <w:r>
        <w:rPr>
          <w:sz w:val="24"/>
        </w:rPr>
        <w:t>DEPLORES</w:t>
      </w:r>
      <w:r>
        <w:rPr>
          <w:spacing w:val="-12"/>
          <w:sz w:val="24"/>
        </w:rPr>
        <w:t> </w:t>
      </w:r>
      <w:r>
        <w:rPr>
          <w:sz w:val="24"/>
        </w:rPr>
        <w:t>the</w:t>
      </w:r>
      <w:r>
        <w:rPr>
          <w:spacing w:val="-12"/>
          <w:sz w:val="24"/>
        </w:rPr>
        <w:t> </w:t>
      </w:r>
      <w:r>
        <w:rPr>
          <w:sz w:val="24"/>
        </w:rPr>
        <w:t>continued</w:t>
      </w:r>
      <w:r>
        <w:rPr>
          <w:spacing w:val="-12"/>
          <w:sz w:val="24"/>
        </w:rPr>
        <w:t> </w:t>
      </w:r>
      <w:r>
        <w:rPr>
          <w:sz w:val="24"/>
        </w:rPr>
        <w:t>over</w:t>
      </w:r>
      <w:r>
        <w:rPr>
          <w:spacing w:val="-12"/>
          <w:sz w:val="24"/>
        </w:rPr>
        <w:t> </w:t>
      </w:r>
      <w:r>
        <w:rPr>
          <w:sz w:val="24"/>
        </w:rPr>
        <w:t>expenditure,</w:t>
      </w:r>
      <w:r>
        <w:rPr>
          <w:spacing w:val="-11"/>
          <w:sz w:val="24"/>
        </w:rPr>
        <w:t> </w:t>
      </w:r>
      <w:r>
        <w:rPr>
          <w:sz w:val="24"/>
        </w:rPr>
        <w:t>unauthorized</w:t>
      </w:r>
      <w:r>
        <w:rPr>
          <w:spacing w:val="-12"/>
          <w:sz w:val="24"/>
        </w:rPr>
        <w:t> </w:t>
      </w:r>
      <w:r>
        <w:rPr>
          <w:sz w:val="24"/>
        </w:rPr>
        <w:t>expenditure</w:t>
      </w:r>
      <w:r>
        <w:rPr>
          <w:spacing w:val="-12"/>
          <w:sz w:val="24"/>
        </w:rPr>
        <w:t> </w:t>
      </w:r>
      <w:r>
        <w:rPr>
          <w:sz w:val="24"/>
        </w:rPr>
        <w:t>and</w:t>
      </w:r>
      <w:r>
        <w:rPr>
          <w:spacing w:val="-13"/>
          <w:sz w:val="24"/>
        </w:rPr>
        <w:t> </w:t>
      </w:r>
      <w:r>
        <w:rPr>
          <w:sz w:val="24"/>
        </w:rPr>
        <w:t>other irregularities in the management of the accounts of the Organization.</w:t>
      </w:r>
    </w:p>
    <w:p>
      <w:pPr>
        <w:pStyle w:val="BodyText"/>
        <w:spacing w:before="1"/>
        <w:rPr>
          <w:sz w:val="36"/>
        </w:rPr>
      </w:pPr>
    </w:p>
    <w:p>
      <w:pPr>
        <w:pStyle w:val="ListParagraph"/>
        <w:numPr>
          <w:ilvl w:val="0"/>
          <w:numId w:val="1"/>
        </w:numPr>
        <w:tabs>
          <w:tab w:pos="864" w:val="left" w:leader="none"/>
          <w:tab w:pos="865" w:val="left" w:leader="none"/>
        </w:tabs>
        <w:spacing w:line="360" w:lineRule="auto" w:before="0" w:after="0"/>
        <w:ind w:left="864" w:right="276" w:hanging="720"/>
        <w:jc w:val="left"/>
        <w:rPr>
          <w:sz w:val="24"/>
        </w:rPr>
      </w:pPr>
      <w:r>
        <w:rPr>
          <w:sz w:val="24"/>
        </w:rPr>
        <w:t>ADOPTS the recommendations concerning the financial management of the General Secretariat contained in the report of the Advisory Committee on Budgetary</w:t>
      </w:r>
      <w:r>
        <w:rPr>
          <w:spacing w:val="-7"/>
          <w:sz w:val="24"/>
        </w:rPr>
        <w:t> </w:t>
      </w:r>
      <w:r>
        <w:rPr>
          <w:sz w:val="24"/>
        </w:rPr>
        <w:t>and</w:t>
      </w:r>
      <w:r>
        <w:rPr>
          <w:spacing w:val="-7"/>
          <w:sz w:val="24"/>
        </w:rPr>
        <w:t> </w:t>
      </w:r>
      <w:r>
        <w:rPr>
          <w:sz w:val="24"/>
        </w:rPr>
        <w:t>Financial</w:t>
      </w:r>
      <w:r>
        <w:rPr>
          <w:spacing w:val="-7"/>
          <w:sz w:val="24"/>
        </w:rPr>
        <w:t> </w:t>
      </w:r>
      <w:r>
        <w:rPr>
          <w:sz w:val="24"/>
        </w:rPr>
        <w:t>Matters –</w:t>
      </w:r>
      <w:r>
        <w:rPr>
          <w:spacing w:val="-8"/>
          <w:sz w:val="24"/>
        </w:rPr>
        <w:t> </w:t>
      </w:r>
      <w:r>
        <w:rPr>
          <w:sz w:val="24"/>
        </w:rPr>
        <w:t>CM/543</w:t>
      </w:r>
      <w:r>
        <w:rPr>
          <w:spacing w:val="-7"/>
          <w:sz w:val="24"/>
        </w:rPr>
        <w:t> </w:t>
      </w:r>
      <w:r>
        <w:rPr>
          <w:sz w:val="24"/>
        </w:rPr>
        <w:t>(XXII)</w:t>
      </w:r>
      <w:r>
        <w:rPr>
          <w:spacing w:val="-6"/>
          <w:sz w:val="24"/>
        </w:rPr>
        <w:t> </w:t>
      </w:r>
      <w:r>
        <w:rPr>
          <w:sz w:val="24"/>
        </w:rPr>
        <w:t>and</w:t>
      </w:r>
      <w:r>
        <w:rPr>
          <w:spacing w:val="-7"/>
          <w:sz w:val="24"/>
        </w:rPr>
        <w:t> </w:t>
      </w:r>
      <w:r>
        <w:rPr>
          <w:sz w:val="24"/>
        </w:rPr>
        <w:t>in</w:t>
      </w:r>
      <w:r>
        <w:rPr>
          <w:spacing w:val="-7"/>
          <w:sz w:val="24"/>
        </w:rPr>
        <w:t> </w:t>
      </w:r>
      <w:r>
        <w:rPr>
          <w:sz w:val="24"/>
        </w:rPr>
        <w:t>the</w:t>
      </w:r>
      <w:r>
        <w:rPr>
          <w:spacing w:val="-7"/>
          <w:sz w:val="24"/>
        </w:rPr>
        <w:t> </w:t>
      </w:r>
      <w:r>
        <w:rPr>
          <w:sz w:val="24"/>
        </w:rPr>
        <w:t>report</w:t>
      </w:r>
      <w:r>
        <w:rPr>
          <w:spacing w:val="-5"/>
          <w:sz w:val="24"/>
        </w:rPr>
        <w:t> </w:t>
      </w:r>
      <w:r>
        <w:rPr>
          <w:sz w:val="24"/>
        </w:rPr>
        <w:t>of</w:t>
      </w:r>
      <w:r>
        <w:rPr>
          <w:spacing w:val="-7"/>
          <w:sz w:val="24"/>
        </w:rPr>
        <w:t> </w:t>
      </w:r>
      <w:r>
        <w:rPr>
          <w:sz w:val="24"/>
        </w:rPr>
        <w:t>the</w:t>
      </w:r>
      <w:r>
        <w:rPr>
          <w:spacing w:val="-7"/>
          <w:sz w:val="24"/>
        </w:rPr>
        <w:t> </w:t>
      </w:r>
      <w:r>
        <w:rPr>
          <w:sz w:val="24"/>
        </w:rPr>
        <w:t>Board of External Auditors – CM/542 (XXII);</w:t>
      </w:r>
    </w:p>
    <w:p>
      <w:pPr>
        <w:spacing w:after="0" w:line="360" w:lineRule="auto"/>
        <w:jc w:val="left"/>
        <w:rPr>
          <w:sz w:val="24"/>
        </w:rPr>
        <w:sectPr>
          <w:type w:val="continuous"/>
          <w:pgSz w:w="12240" w:h="15840"/>
          <w:pgMar w:top="1360" w:bottom="280" w:left="1660" w:right="1660"/>
        </w:sectPr>
      </w:pPr>
    </w:p>
    <w:p>
      <w:pPr>
        <w:pStyle w:val="ListParagraph"/>
        <w:numPr>
          <w:ilvl w:val="0"/>
          <w:numId w:val="1"/>
        </w:numPr>
        <w:tabs>
          <w:tab w:pos="864" w:val="left" w:leader="none"/>
          <w:tab w:pos="865" w:val="left" w:leader="none"/>
        </w:tabs>
        <w:spacing w:line="360" w:lineRule="auto" w:before="76" w:after="0"/>
        <w:ind w:left="864" w:right="361" w:hanging="720"/>
        <w:jc w:val="left"/>
        <w:rPr>
          <w:sz w:val="24"/>
        </w:rPr>
      </w:pPr>
      <w:r>
        <w:rPr>
          <w:sz w:val="24"/>
        </w:rPr>
        <w:t>REQUESTS the Administrative Secretary General to amend the Financial Regulations of the Organization so as to take account of the relevant recommendations of the Advisory Committee, especially those concerning the establishment</w:t>
      </w:r>
      <w:r>
        <w:rPr>
          <w:spacing w:val="-15"/>
          <w:sz w:val="24"/>
        </w:rPr>
        <w:t> </w:t>
      </w:r>
      <w:r>
        <w:rPr>
          <w:sz w:val="24"/>
        </w:rPr>
        <w:t>of</w:t>
      </w:r>
      <w:r>
        <w:rPr>
          <w:spacing w:val="-15"/>
          <w:sz w:val="24"/>
        </w:rPr>
        <w:t> </w:t>
      </w:r>
      <w:r>
        <w:rPr>
          <w:sz w:val="24"/>
        </w:rPr>
        <w:t>Receipt</w:t>
      </w:r>
      <w:r>
        <w:rPr>
          <w:spacing w:val="-15"/>
          <w:sz w:val="24"/>
        </w:rPr>
        <w:t> </w:t>
      </w:r>
      <w:r>
        <w:rPr>
          <w:sz w:val="24"/>
        </w:rPr>
        <w:t>Vouchers</w:t>
      </w:r>
      <w:r>
        <w:rPr>
          <w:spacing w:val="-15"/>
          <w:sz w:val="24"/>
        </w:rPr>
        <w:t> </w:t>
      </w:r>
      <w:r>
        <w:rPr>
          <w:sz w:val="24"/>
        </w:rPr>
        <w:t>and</w:t>
      </w:r>
      <w:r>
        <w:rPr>
          <w:spacing w:val="-15"/>
          <w:sz w:val="24"/>
        </w:rPr>
        <w:t> </w:t>
      </w:r>
      <w:r>
        <w:rPr>
          <w:sz w:val="24"/>
        </w:rPr>
        <w:t>to</w:t>
      </w:r>
      <w:r>
        <w:rPr>
          <w:spacing w:val="-15"/>
          <w:sz w:val="24"/>
        </w:rPr>
        <w:t> </w:t>
      </w:r>
      <w:r>
        <w:rPr>
          <w:sz w:val="24"/>
        </w:rPr>
        <w:t>submit</w:t>
      </w:r>
      <w:r>
        <w:rPr>
          <w:spacing w:val="-15"/>
          <w:sz w:val="24"/>
        </w:rPr>
        <w:t> </w:t>
      </w:r>
      <w:r>
        <w:rPr>
          <w:sz w:val="24"/>
        </w:rPr>
        <w:t>the</w:t>
      </w:r>
      <w:r>
        <w:rPr>
          <w:spacing w:val="-15"/>
          <w:sz w:val="24"/>
        </w:rPr>
        <w:t> </w:t>
      </w:r>
      <w:r>
        <w:rPr>
          <w:sz w:val="24"/>
        </w:rPr>
        <w:t>new</w:t>
      </w:r>
      <w:r>
        <w:rPr>
          <w:spacing w:val="-15"/>
          <w:sz w:val="24"/>
        </w:rPr>
        <w:t> </w:t>
      </w:r>
      <w:r>
        <w:rPr>
          <w:sz w:val="24"/>
        </w:rPr>
        <w:t>financial regulations</w:t>
      </w:r>
      <w:r>
        <w:rPr>
          <w:spacing w:val="-15"/>
          <w:sz w:val="24"/>
        </w:rPr>
        <w:t> </w:t>
      </w:r>
      <w:r>
        <w:rPr>
          <w:sz w:val="24"/>
        </w:rPr>
        <w:t>to the Council of Ministers for approval, through the Advisory Committee for budgetary and Financial matters.</w:t>
      </w:r>
    </w:p>
    <w:sectPr>
      <w:pgSz w:w="12240" w:h="15840"/>
      <w:pgMar w:top="136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66" w:hanging="721"/>
      </w:pPr>
      <w:rPr>
        <w:rFonts w:hint="default"/>
        <w:lang w:val="en-US" w:eastAsia="en-US" w:bidi="ar-SA"/>
      </w:rPr>
    </w:lvl>
    <w:lvl w:ilvl="2">
      <w:start w:val="0"/>
      <w:numFmt w:val="bullet"/>
      <w:lvlText w:val="•"/>
      <w:lvlJc w:val="left"/>
      <w:pPr>
        <w:ind w:left="2472" w:hanging="721"/>
      </w:pPr>
      <w:rPr>
        <w:rFonts w:hint="default"/>
        <w:lang w:val="en-US" w:eastAsia="en-US" w:bidi="ar-SA"/>
      </w:rPr>
    </w:lvl>
    <w:lvl w:ilvl="3">
      <w:start w:val="0"/>
      <w:numFmt w:val="bullet"/>
      <w:lvlText w:val="•"/>
      <w:lvlJc w:val="left"/>
      <w:pPr>
        <w:ind w:left="3278" w:hanging="721"/>
      </w:pPr>
      <w:rPr>
        <w:rFonts w:hint="default"/>
        <w:lang w:val="en-US" w:eastAsia="en-US" w:bidi="ar-SA"/>
      </w:rPr>
    </w:lvl>
    <w:lvl w:ilvl="4">
      <w:start w:val="0"/>
      <w:numFmt w:val="bullet"/>
      <w:lvlText w:val="•"/>
      <w:lvlJc w:val="left"/>
      <w:pPr>
        <w:ind w:left="4084" w:hanging="721"/>
      </w:pPr>
      <w:rPr>
        <w:rFonts w:hint="default"/>
        <w:lang w:val="en-US" w:eastAsia="en-US" w:bidi="ar-SA"/>
      </w:rPr>
    </w:lvl>
    <w:lvl w:ilvl="5">
      <w:start w:val="0"/>
      <w:numFmt w:val="bullet"/>
      <w:lvlText w:val="•"/>
      <w:lvlJc w:val="left"/>
      <w:pPr>
        <w:ind w:left="4890" w:hanging="721"/>
      </w:pPr>
      <w:rPr>
        <w:rFonts w:hint="default"/>
        <w:lang w:val="en-US" w:eastAsia="en-US" w:bidi="ar-SA"/>
      </w:rPr>
    </w:lvl>
    <w:lvl w:ilvl="6">
      <w:start w:val="0"/>
      <w:numFmt w:val="bullet"/>
      <w:lvlText w:val="•"/>
      <w:lvlJc w:val="left"/>
      <w:pPr>
        <w:ind w:left="5696" w:hanging="721"/>
      </w:pPr>
      <w:rPr>
        <w:rFonts w:hint="default"/>
        <w:lang w:val="en-US" w:eastAsia="en-US" w:bidi="ar-SA"/>
      </w:rPr>
    </w:lvl>
    <w:lvl w:ilvl="7">
      <w:start w:val="0"/>
      <w:numFmt w:val="bullet"/>
      <w:lvlText w:val="•"/>
      <w:lvlJc w:val="left"/>
      <w:pPr>
        <w:ind w:left="6502" w:hanging="721"/>
      </w:pPr>
      <w:rPr>
        <w:rFonts w:hint="default"/>
        <w:lang w:val="en-US" w:eastAsia="en-US" w:bidi="ar-SA"/>
      </w:rPr>
    </w:lvl>
    <w:lvl w:ilvl="8">
      <w:start w:val="0"/>
      <w:numFmt w:val="bullet"/>
      <w:lvlText w:val="•"/>
      <w:lvlJc w:val="left"/>
      <w:pPr>
        <w:ind w:left="7308"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64" w:right="276"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2023-06-06T13:06:26Z</dcterms:created>
  <dcterms:modified xsi:type="dcterms:W3CDTF">2023-06-06T13:06:26Z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