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464" w:right="95" w:firstLine="6249"/>
      </w:pPr>
      <w:r>
        <w:rPr/>
        <w:t>CM/Res.362</w:t>
      </w:r>
      <w:r>
        <w:rPr>
          <w:spacing w:val="-15"/>
        </w:rPr>
        <w:t> </w:t>
      </w:r>
      <w:r>
        <w:rPr/>
        <w:t>(XXIII) RESOLUTION ON THE CONFERENCE OF AFRICAN LABOUR MINISTERS</w:t>
      </w:r>
    </w:p>
    <w:p>
      <w:pPr>
        <w:pStyle w:val="BodyText"/>
        <w:spacing w:line="360" w:lineRule="auto" w:before="6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76" w:hanging="1"/>
      </w:pPr>
      <w:r>
        <w:rPr/>
        <w:t>HAVING CONSIDRED the General Secretariat’s reports on</w:t>
      </w:r>
      <w:r>
        <w:rPr>
          <w:spacing w:val="40"/>
        </w:rPr>
        <w:t> </w:t>
      </w:r>
      <w:r>
        <w:rPr/>
        <w:t>the proceedings of the Eleventh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</w:t>
      </w:r>
      <w:r>
        <w:rPr>
          <w:spacing w:val="-15"/>
        </w:rPr>
        <w:t> </w:t>
      </w:r>
      <w:r>
        <w:rPr/>
        <w:t>Sessions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Conference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Labour</w:t>
      </w:r>
      <w:r>
        <w:rPr>
          <w:spacing w:val="-15"/>
        </w:rPr>
        <w:t> </w:t>
      </w:r>
      <w:r>
        <w:rPr/>
        <w:t>Ministers,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88" w:hanging="720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6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reports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Secretariat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proceed with the indepth study of the institutional aspects and financial implications referred</w:t>
      </w:r>
      <w:r>
        <w:rPr>
          <w:spacing w:val="-1"/>
          <w:sz w:val="24"/>
        </w:rPr>
        <w:t> </w:t>
      </w:r>
      <w:r>
        <w:rPr>
          <w:sz w:val="24"/>
        </w:rPr>
        <w:t>to in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MAT/Res.7</w:t>
      </w:r>
      <w:r>
        <w:rPr>
          <w:spacing w:val="-1"/>
          <w:sz w:val="24"/>
        </w:rPr>
        <w:t> </w:t>
      </w:r>
      <w:r>
        <w:rPr>
          <w:sz w:val="24"/>
        </w:rPr>
        <w:t>(XII) adopted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Eighth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Conference of African Labour Ministers held in Conakry from 18 to 24 March </w:t>
      </w:r>
      <w:r>
        <w:rPr>
          <w:spacing w:val="-2"/>
          <w:sz w:val="24"/>
        </w:rPr>
        <w:t>1974,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pacing w:val="-2"/>
          <w:sz w:val="24"/>
        </w:rPr>
        <w:t>DECIDES: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321" w:hanging="720"/>
        <w:jc w:val="left"/>
        <w:rPr>
          <w:sz w:val="24"/>
        </w:rPr>
      </w:pPr>
      <w:r>
        <w:rPr>
          <w:sz w:val="24"/>
        </w:rPr>
        <w:t>until the Council takes a final decision on these relations, the OAU General Secretariat should continue to convene and organize, in Addis Ababa,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sessions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Labour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  <w:r>
        <w:rPr>
          <w:spacing w:val="-15"/>
          <w:sz w:val="24"/>
        </w:rPr>
        <w:t> </w:t>
      </w:r>
      <w:r>
        <w:rPr>
          <w:sz w:val="24"/>
        </w:rPr>
        <w:t>unless the conference is invited by a Member State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31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invites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difference</w:t>
      </w:r>
      <w:r>
        <w:rPr>
          <w:spacing w:val="-15"/>
          <w:sz w:val="24"/>
        </w:rPr>
        <w:t> </w:t>
      </w:r>
      <w:r>
        <w:rPr>
          <w:sz w:val="24"/>
        </w:rPr>
        <w:t>in cost for the holding of the Conference outside Addis Ababa,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267" w:hanging="720"/>
        <w:jc w:val="left"/>
        <w:rPr>
          <w:sz w:val="24"/>
        </w:rPr>
      </w:pPr>
      <w:r>
        <w:rPr>
          <w:sz w:val="24"/>
        </w:rPr>
        <w:t>The Secretariat should submit an in-depth study on all the problems relating to holding of the Conference of African Labour Ministers and in particular, on the institutional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legal</w:t>
      </w:r>
      <w:r>
        <w:rPr>
          <w:spacing w:val="-12"/>
          <w:sz w:val="24"/>
        </w:rPr>
        <w:t> </w:t>
      </w:r>
      <w:r>
        <w:rPr>
          <w:sz w:val="24"/>
        </w:rPr>
        <w:t>problems</w:t>
      </w:r>
      <w:r>
        <w:rPr>
          <w:spacing w:val="-12"/>
          <w:sz w:val="24"/>
        </w:rPr>
        <w:t> </w:t>
      </w:r>
      <w:r>
        <w:rPr>
          <w:sz w:val="24"/>
        </w:rPr>
        <w:t>relating</w:t>
      </w:r>
      <w:r>
        <w:rPr>
          <w:spacing w:val="-12"/>
          <w:sz w:val="24"/>
        </w:rPr>
        <w:t> </w:t>
      </w:r>
      <w:r>
        <w:rPr>
          <w:sz w:val="24"/>
        </w:rPr>
        <w:t>thereto,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2"/>
          <w:sz w:val="24"/>
        </w:rPr>
        <w:t> </w:t>
      </w:r>
      <w:r>
        <w:rPr>
          <w:sz w:val="24"/>
        </w:rPr>
        <w:t>regard</w:t>
      </w:r>
      <w:r>
        <w:rPr>
          <w:spacing w:val="-12"/>
          <w:sz w:val="24"/>
        </w:rPr>
        <w:t> </w:t>
      </w:r>
      <w:r>
        <w:rPr>
          <w:sz w:val="24"/>
        </w:rPr>
        <w:t>being</w:t>
      </w:r>
      <w:r>
        <w:rPr>
          <w:spacing w:val="-12"/>
          <w:sz w:val="24"/>
        </w:rPr>
        <w:t> </w:t>
      </w:r>
      <w:r>
        <w:rPr>
          <w:sz w:val="24"/>
        </w:rPr>
        <w:t>paid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 OAU Charter.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2023-06-06T13:08:59Z</dcterms:created>
  <dcterms:modified xsi:type="dcterms:W3CDTF">2023-06-06T13:08:59Z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