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CM/Res.369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277" w:right="271" w:hanging="8"/>
        <w:jc w:val="center"/>
      </w:pPr>
      <w:r>
        <w:rPr/>
        <w:t>RESOLUTION ON THE FORMATION OF A PANEL OF EXPERTS TO STUDY AND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ADULT</w:t>
      </w:r>
      <w:r>
        <w:rPr>
          <w:spacing w:val="-4"/>
        </w:rPr>
        <w:t> </w:t>
      </w:r>
      <w:r>
        <w:rPr/>
        <w:t>CONTINUING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 MEMBER STATES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430"/>
      </w:pPr>
      <w:r>
        <w:rPr/>
        <w:t>HAVING</w:t>
      </w:r>
      <w:r>
        <w:rPr>
          <w:spacing w:val="-12"/>
        </w:rPr>
        <w:t> </w:t>
      </w:r>
      <w:r>
        <w:rPr/>
        <w:t>considered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proposal</w:t>
      </w:r>
      <w:r>
        <w:rPr>
          <w:spacing w:val="-12"/>
        </w:rPr>
        <w:t> </w:t>
      </w:r>
      <w:r>
        <w:rPr/>
        <w:t>submitted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Nigeria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exchanging information on adult education which affects the masses of Africa;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25" w:hanging="1"/>
      </w:pPr>
      <w:r>
        <w:rPr/>
        <w:t>AWARE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restraints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agrees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principle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establish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panel of Experts on Adult/Continuing Education,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430"/>
      </w:pPr>
      <w:r>
        <w:rPr/>
        <w:t>INVITED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work</w:t>
      </w:r>
      <w:r>
        <w:rPr>
          <w:spacing w:val="-13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expenses</w:t>
      </w:r>
      <w:r>
        <w:rPr>
          <w:spacing w:val="-13"/>
        </w:rPr>
        <w:t> </w:t>
      </w:r>
      <w:r>
        <w:rPr/>
        <w:t>and present it to the appropriate bodies of the OAU for approval.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2023-06-06T13:09:32Z</dcterms:created>
  <dcterms:modified xsi:type="dcterms:W3CDTF">2023-06-06T13:09:32Z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