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0"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22"/>
        <w:gridCol w:w="1719"/>
        <w:gridCol w:w="4129"/>
      </w:tblGrid>
      <w:tr w:rsidR="00FF16BD" w:rsidRPr="00FF16BD" w14:paraId="58360D0C" w14:textId="77777777" w:rsidTr="00E87BDD">
        <w:trPr>
          <w:cantSplit/>
        </w:trPr>
        <w:tc>
          <w:tcPr>
            <w:tcW w:w="4422" w:type="dxa"/>
            <w:tcBorders>
              <w:top w:val="nil"/>
              <w:left w:val="nil"/>
              <w:bottom w:val="nil"/>
              <w:right w:val="nil"/>
            </w:tcBorders>
          </w:tcPr>
          <w:p w14:paraId="4005D938" w14:textId="77777777" w:rsidR="00D224FD" w:rsidRPr="00FF16BD" w:rsidRDefault="00D224FD" w:rsidP="00356A56">
            <w:pPr>
              <w:pStyle w:val="Heading1"/>
              <w:ind w:left="720"/>
              <w:contextualSpacing/>
              <w:rPr>
                <w:rFonts w:cs="Arial"/>
                <w:sz w:val="24"/>
              </w:rPr>
            </w:pPr>
          </w:p>
          <w:p w14:paraId="3B6B09BE" w14:textId="77777777" w:rsidR="00D224FD" w:rsidRPr="00FF16BD" w:rsidRDefault="00D224FD" w:rsidP="00356A56">
            <w:pPr>
              <w:pStyle w:val="Heading4"/>
              <w:rPr>
                <w:rFonts w:cs="Arial"/>
                <w:sz w:val="24"/>
              </w:rPr>
            </w:pPr>
            <w:r w:rsidRPr="00FF16BD">
              <w:rPr>
                <w:rFonts w:cs="Arial"/>
                <w:sz w:val="24"/>
              </w:rPr>
              <w:t>AFRICAN UNION</w:t>
            </w:r>
          </w:p>
        </w:tc>
        <w:tc>
          <w:tcPr>
            <w:tcW w:w="1719" w:type="dxa"/>
            <w:vMerge w:val="restart"/>
            <w:tcBorders>
              <w:top w:val="nil"/>
              <w:left w:val="nil"/>
              <w:bottom w:val="nil"/>
              <w:right w:val="nil"/>
            </w:tcBorders>
          </w:tcPr>
          <w:p w14:paraId="1461940B" w14:textId="77777777" w:rsidR="00D224FD" w:rsidRPr="00FF16BD" w:rsidRDefault="00D224FD" w:rsidP="00356A56">
            <w:pPr>
              <w:spacing w:line="240" w:lineRule="auto"/>
              <w:jc w:val="center"/>
              <w:rPr>
                <w:rFonts w:ascii="Arial" w:hAnsi="Arial" w:cs="Arial"/>
                <w:lang w:val="fr-FR" w:eastAsia="fr-FR"/>
              </w:rPr>
            </w:pPr>
          </w:p>
          <w:p w14:paraId="7E79318D" w14:textId="77777777" w:rsidR="00D224FD" w:rsidRPr="00FF16BD" w:rsidRDefault="00D224FD" w:rsidP="00356A56">
            <w:pPr>
              <w:spacing w:line="240" w:lineRule="auto"/>
              <w:jc w:val="center"/>
              <w:rPr>
                <w:rFonts w:ascii="Arial" w:hAnsi="Arial" w:cs="Arial"/>
                <w:lang w:val="fr-FR" w:eastAsia="fr-FR"/>
              </w:rPr>
            </w:pPr>
            <w:r w:rsidRPr="00FF16BD">
              <w:rPr>
                <w:rFonts w:ascii="Arial" w:hAnsi="Arial" w:cs="Arial"/>
                <w:noProof/>
                <w:lang w:eastAsia="en-GB"/>
              </w:rPr>
              <w:drawing>
                <wp:inline distT="0" distB="0" distL="0" distR="0" wp14:anchorId="5E336BD2" wp14:editId="75BC3EFD">
                  <wp:extent cx="940435" cy="914400"/>
                  <wp:effectExtent l="0" t="0" r="0" b="0"/>
                  <wp:docPr id="9" name="Picture 1" descr="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 Cou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4129" w:type="dxa"/>
            <w:tcBorders>
              <w:top w:val="nil"/>
              <w:left w:val="nil"/>
              <w:bottom w:val="nil"/>
              <w:right w:val="nil"/>
            </w:tcBorders>
          </w:tcPr>
          <w:p w14:paraId="0A6ED9F9" w14:textId="77777777" w:rsidR="00D224FD" w:rsidRPr="00FF16BD" w:rsidRDefault="00D224FD" w:rsidP="00356A56">
            <w:pPr>
              <w:pStyle w:val="Heading1"/>
              <w:ind w:left="720"/>
              <w:contextualSpacing/>
              <w:rPr>
                <w:rFonts w:cs="Arial"/>
                <w:sz w:val="24"/>
              </w:rPr>
            </w:pPr>
          </w:p>
          <w:p w14:paraId="59ACE0B9" w14:textId="77777777" w:rsidR="00D224FD" w:rsidRPr="00FF16BD" w:rsidRDefault="00D224FD" w:rsidP="00356A56">
            <w:pPr>
              <w:pStyle w:val="Heading4"/>
              <w:rPr>
                <w:rFonts w:cs="Arial"/>
                <w:sz w:val="24"/>
              </w:rPr>
            </w:pPr>
            <w:r w:rsidRPr="00FF16BD">
              <w:rPr>
                <w:rFonts w:cs="Arial"/>
                <w:sz w:val="24"/>
              </w:rPr>
              <w:t>UNION AFRICAINE</w:t>
            </w:r>
          </w:p>
        </w:tc>
      </w:tr>
      <w:tr w:rsidR="00FF16BD" w:rsidRPr="00FF16BD" w14:paraId="06925786" w14:textId="77777777" w:rsidTr="00E87BDD">
        <w:trPr>
          <w:cantSplit/>
          <w:trHeight w:val="1548"/>
        </w:trPr>
        <w:tc>
          <w:tcPr>
            <w:tcW w:w="4422" w:type="dxa"/>
            <w:tcBorders>
              <w:top w:val="nil"/>
              <w:left w:val="nil"/>
              <w:bottom w:val="nil"/>
              <w:right w:val="nil"/>
            </w:tcBorders>
            <w:vAlign w:val="center"/>
            <w:hideMark/>
          </w:tcPr>
          <w:p w14:paraId="2C9F5828" w14:textId="77777777" w:rsidR="00D224FD" w:rsidRPr="00FF16BD" w:rsidRDefault="00D224FD" w:rsidP="00356A56">
            <w:pPr>
              <w:spacing w:line="240" w:lineRule="auto"/>
              <w:jc w:val="center"/>
              <w:rPr>
                <w:rFonts w:ascii="Arial" w:hAnsi="Arial" w:cs="Arial"/>
                <w:lang w:val="fr-FR" w:eastAsia="fr-FR"/>
              </w:rPr>
            </w:pPr>
            <w:r w:rsidRPr="00FF16BD">
              <w:rPr>
                <w:rFonts w:ascii="Arial" w:hAnsi="Arial" w:cs="Arial"/>
                <w:noProof/>
                <w:lang w:eastAsia="en-GB"/>
              </w:rPr>
              <w:drawing>
                <wp:inline distT="0" distB="0" distL="0" distR="0" wp14:anchorId="51C958BC" wp14:editId="345E02A2">
                  <wp:extent cx="1167130" cy="395605"/>
                  <wp:effectExtent l="0" t="0" r="1270" b="1079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130" cy="395605"/>
                          </a:xfrm>
                          <a:prstGeom prst="rect">
                            <a:avLst/>
                          </a:prstGeom>
                          <a:noFill/>
                          <a:ln>
                            <a:noFill/>
                          </a:ln>
                        </pic:spPr>
                      </pic:pic>
                    </a:graphicData>
                  </a:graphic>
                </wp:inline>
              </w:drawing>
            </w:r>
          </w:p>
        </w:tc>
        <w:tc>
          <w:tcPr>
            <w:tcW w:w="0" w:type="auto"/>
            <w:vMerge/>
            <w:tcBorders>
              <w:top w:val="nil"/>
              <w:left w:val="nil"/>
              <w:bottom w:val="nil"/>
              <w:right w:val="nil"/>
            </w:tcBorders>
            <w:vAlign w:val="center"/>
            <w:hideMark/>
          </w:tcPr>
          <w:p w14:paraId="7805C55A" w14:textId="77777777" w:rsidR="00D224FD" w:rsidRPr="00FF16BD" w:rsidRDefault="00D224FD" w:rsidP="00356A56">
            <w:pPr>
              <w:spacing w:line="240" w:lineRule="auto"/>
              <w:jc w:val="center"/>
              <w:rPr>
                <w:rFonts w:ascii="Arial" w:hAnsi="Arial" w:cs="Arial"/>
                <w:lang w:val="fr-FR" w:eastAsia="fr-FR"/>
              </w:rPr>
            </w:pPr>
          </w:p>
        </w:tc>
        <w:tc>
          <w:tcPr>
            <w:tcW w:w="4129" w:type="dxa"/>
            <w:tcBorders>
              <w:top w:val="nil"/>
              <w:left w:val="nil"/>
              <w:bottom w:val="nil"/>
              <w:right w:val="nil"/>
            </w:tcBorders>
            <w:vAlign w:val="center"/>
          </w:tcPr>
          <w:p w14:paraId="10711133" w14:textId="77777777" w:rsidR="00D224FD" w:rsidRPr="00FF16BD" w:rsidRDefault="00D224FD" w:rsidP="00356A56">
            <w:pPr>
              <w:spacing w:line="240" w:lineRule="auto"/>
              <w:jc w:val="center"/>
              <w:rPr>
                <w:rFonts w:ascii="Arial" w:hAnsi="Arial" w:cs="Arial"/>
                <w:b/>
                <w:bCs/>
                <w:lang w:val="fr-FR" w:eastAsia="fr-FR"/>
              </w:rPr>
            </w:pPr>
          </w:p>
          <w:p w14:paraId="5CAD7C9C" w14:textId="77777777" w:rsidR="00D224FD" w:rsidRPr="00FF16BD" w:rsidRDefault="00D224FD" w:rsidP="00356A56">
            <w:pPr>
              <w:pStyle w:val="Heading4"/>
              <w:rPr>
                <w:rFonts w:cs="Arial"/>
                <w:sz w:val="24"/>
              </w:rPr>
            </w:pPr>
            <w:r w:rsidRPr="00FF16BD">
              <w:rPr>
                <w:rFonts w:cs="Arial"/>
                <w:sz w:val="24"/>
              </w:rPr>
              <w:t>UNIÃO AFRICANA</w:t>
            </w:r>
          </w:p>
        </w:tc>
      </w:tr>
      <w:tr w:rsidR="00FF16BD" w:rsidRPr="00A0421C" w14:paraId="129D8D7D" w14:textId="77777777" w:rsidTr="00E87BDD">
        <w:trPr>
          <w:cantSplit/>
          <w:trHeight w:val="818"/>
        </w:trPr>
        <w:tc>
          <w:tcPr>
            <w:tcW w:w="10270" w:type="dxa"/>
            <w:gridSpan w:val="3"/>
            <w:tcBorders>
              <w:top w:val="nil"/>
              <w:left w:val="nil"/>
              <w:bottom w:val="single" w:sz="4" w:space="0" w:color="auto"/>
              <w:right w:val="nil"/>
            </w:tcBorders>
            <w:vAlign w:val="center"/>
            <w:hideMark/>
          </w:tcPr>
          <w:p w14:paraId="373463E8" w14:textId="77777777" w:rsidR="00D224FD" w:rsidRPr="00FF16BD" w:rsidRDefault="00D224FD" w:rsidP="00356A56">
            <w:pPr>
              <w:spacing w:line="240" w:lineRule="auto"/>
              <w:jc w:val="center"/>
              <w:rPr>
                <w:rFonts w:ascii="Arial" w:hAnsi="Arial" w:cs="Arial"/>
                <w:b/>
                <w:lang w:val="en-US" w:eastAsia="fr-FR"/>
              </w:rPr>
            </w:pPr>
            <w:r w:rsidRPr="00FF16BD">
              <w:rPr>
                <w:rFonts w:ascii="Arial" w:hAnsi="Arial" w:cs="Arial"/>
                <w:b/>
                <w:lang w:val="en-US"/>
              </w:rPr>
              <w:t>AFRICAN COURT ON HUMAN AND PEOPLES’ RIGHTS</w:t>
            </w:r>
          </w:p>
          <w:p w14:paraId="6FE985E8" w14:textId="77777777" w:rsidR="00D224FD" w:rsidRPr="00FF16BD" w:rsidRDefault="00D224FD" w:rsidP="00356A56">
            <w:pPr>
              <w:spacing w:line="240" w:lineRule="auto"/>
              <w:jc w:val="center"/>
              <w:rPr>
                <w:rFonts w:ascii="Arial" w:hAnsi="Arial" w:cs="Arial"/>
                <w:b/>
                <w:lang w:val="fr-FR"/>
              </w:rPr>
            </w:pPr>
            <w:r w:rsidRPr="00FF16BD">
              <w:rPr>
                <w:rFonts w:ascii="Arial" w:hAnsi="Arial" w:cs="Arial"/>
                <w:b/>
                <w:lang w:val="fr-FR"/>
              </w:rPr>
              <w:t>COUR AFRICAINE DES DROITS DE L’HOMME ET DES PEUPLES</w:t>
            </w:r>
          </w:p>
          <w:p w14:paraId="6CC3122F" w14:textId="77777777" w:rsidR="00D224FD" w:rsidRPr="00FF16BD" w:rsidRDefault="00D224FD" w:rsidP="00356A56">
            <w:pPr>
              <w:spacing w:line="240" w:lineRule="auto"/>
              <w:jc w:val="center"/>
              <w:rPr>
                <w:rFonts w:ascii="Arial" w:hAnsi="Arial" w:cs="Arial"/>
                <w:lang w:val="fr-FR" w:eastAsia="fr-FR"/>
              </w:rPr>
            </w:pPr>
          </w:p>
        </w:tc>
      </w:tr>
    </w:tbl>
    <w:p w14:paraId="4149A3FD" w14:textId="77777777" w:rsidR="002B6CFD" w:rsidRPr="00FF16BD" w:rsidRDefault="002B6CFD" w:rsidP="00917627">
      <w:pPr>
        <w:spacing w:line="360" w:lineRule="auto"/>
        <w:rPr>
          <w:lang w:val="fr-FR"/>
        </w:rPr>
      </w:pPr>
    </w:p>
    <w:p w14:paraId="412507DD" w14:textId="77777777" w:rsidR="00D224FD" w:rsidRPr="00FF16BD" w:rsidRDefault="00D224FD" w:rsidP="00917627">
      <w:pPr>
        <w:spacing w:line="360" w:lineRule="auto"/>
        <w:jc w:val="center"/>
        <w:rPr>
          <w:rFonts w:ascii="Arial" w:hAnsi="Arial" w:cs="Arial"/>
          <w:b/>
          <w:sz w:val="28"/>
          <w:szCs w:val="28"/>
          <w:lang w:val="fr-FR"/>
        </w:rPr>
      </w:pPr>
    </w:p>
    <w:p w14:paraId="44AB72CA" w14:textId="77777777" w:rsidR="00D224FD" w:rsidRPr="00FF16BD" w:rsidRDefault="00D224FD" w:rsidP="00917627">
      <w:pPr>
        <w:spacing w:line="360" w:lineRule="auto"/>
        <w:jc w:val="center"/>
        <w:rPr>
          <w:rFonts w:ascii="Arial" w:hAnsi="Arial" w:cs="Arial"/>
          <w:b/>
          <w:sz w:val="28"/>
          <w:szCs w:val="28"/>
          <w:lang w:val="fr-FR"/>
        </w:rPr>
      </w:pPr>
    </w:p>
    <w:p w14:paraId="57FF1BE3" w14:textId="79F57485" w:rsidR="00A41723" w:rsidRPr="00FF16BD" w:rsidRDefault="00391398" w:rsidP="00B00D3D">
      <w:pPr>
        <w:jc w:val="center"/>
        <w:rPr>
          <w:rFonts w:ascii="Arial" w:hAnsi="Arial" w:cs="Arial"/>
          <w:b/>
          <w:sz w:val="28"/>
          <w:lang w:val="fr-FR"/>
        </w:rPr>
      </w:pPr>
      <w:r w:rsidRPr="00FF16BD">
        <w:rPr>
          <w:rFonts w:ascii="Arial" w:hAnsi="Arial" w:cs="Arial"/>
          <w:b/>
          <w:sz w:val="28"/>
          <w:lang w:val="fr-FR"/>
        </w:rPr>
        <w:t>AFFAIRE</w:t>
      </w:r>
    </w:p>
    <w:p w14:paraId="005F907E" w14:textId="70DDBA31" w:rsidR="00D224FD" w:rsidRPr="00FF16BD" w:rsidRDefault="00D224FD" w:rsidP="00B00D3D">
      <w:pPr>
        <w:jc w:val="center"/>
        <w:rPr>
          <w:rFonts w:ascii="Arial" w:hAnsi="Arial" w:cs="Arial"/>
          <w:b/>
          <w:sz w:val="28"/>
          <w:lang w:val="fr-FR"/>
        </w:rPr>
      </w:pPr>
      <w:r w:rsidRPr="00FF16BD">
        <w:rPr>
          <w:rFonts w:ascii="Arial" w:hAnsi="Arial" w:cs="Arial"/>
          <w:b/>
          <w:sz w:val="28"/>
          <w:lang w:val="fr-FR"/>
        </w:rPr>
        <w:t>JEAN-CLAUDE ROGER</w:t>
      </w:r>
      <w:r w:rsidR="00F61E42" w:rsidRPr="00FF16BD">
        <w:rPr>
          <w:rFonts w:ascii="Arial" w:hAnsi="Arial" w:cs="Arial"/>
          <w:b/>
          <w:sz w:val="28"/>
          <w:lang w:val="fr-FR"/>
        </w:rPr>
        <w:t xml:space="preserve"> GOMBERT</w:t>
      </w:r>
    </w:p>
    <w:p w14:paraId="6D36F4D5" w14:textId="77777777" w:rsidR="00D224FD" w:rsidRPr="00FF16BD" w:rsidRDefault="00D224FD" w:rsidP="00B00D3D">
      <w:pPr>
        <w:jc w:val="center"/>
        <w:rPr>
          <w:rFonts w:ascii="Arial" w:hAnsi="Arial" w:cs="Arial"/>
          <w:b/>
          <w:sz w:val="28"/>
          <w:lang w:val="fr-FR"/>
        </w:rPr>
      </w:pPr>
    </w:p>
    <w:p w14:paraId="705B7F05" w14:textId="77777777" w:rsidR="00D224FD" w:rsidRPr="00FF16BD" w:rsidRDefault="00D224FD" w:rsidP="00B00D3D">
      <w:pPr>
        <w:jc w:val="center"/>
        <w:rPr>
          <w:rFonts w:ascii="Arial" w:hAnsi="Arial" w:cs="Arial"/>
          <w:b/>
          <w:sz w:val="28"/>
          <w:lang w:val="fr-FR"/>
        </w:rPr>
      </w:pPr>
      <w:r w:rsidRPr="00FF16BD">
        <w:rPr>
          <w:rFonts w:ascii="Arial" w:hAnsi="Arial" w:cs="Arial"/>
          <w:b/>
          <w:sz w:val="28"/>
          <w:lang w:val="fr-FR"/>
        </w:rPr>
        <w:t>C.</w:t>
      </w:r>
    </w:p>
    <w:p w14:paraId="0124E3C6" w14:textId="77777777" w:rsidR="00D224FD" w:rsidRPr="00FF16BD" w:rsidRDefault="00D224FD" w:rsidP="00B00D3D">
      <w:pPr>
        <w:jc w:val="center"/>
        <w:rPr>
          <w:rFonts w:ascii="Arial" w:hAnsi="Arial" w:cs="Arial"/>
          <w:b/>
          <w:sz w:val="28"/>
          <w:lang w:val="fr-FR"/>
        </w:rPr>
      </w:pPr>
    </w:p>
    <w:p w14:paraId="7F42C744" w14:textId="5883FA77" w:rsidR="00D224FD" w:rsidRPr="00FF16BD" w:rsidRDefault="00A41723" w:rsidP="00B00D3D">
      <w:pPr>
        <w:jc w:val="center"/>
        <w:rPr>
          <w:rFonts w:ascii="Arial" w:hAnsi="Arial" w:cs="Arial"/>
          <w:b/>
          <w:sz w:val="28"/>
          <w:lang w:val="fr-FR"/>
        </w:rPr>
      </w:pPr>
      <w:r w:rsidRPr="00FF16BD">
        <w:rPr>
          <w:rFonts w:ascii="Arial" w:hAnsi="Arial" w:cs="Arial"/>
          <w:b/>
          <w:sz w:val="28"/>
          <w:lang w:val="fr-FR"/>
        </w:rPr>
        <w:t xml:space="preserve">RÉPUBLIQUE DE </w:t>
      </w:r>
      <w:r w:rsidR="00D224FD" w:rsidRPr="00FF16BD">
        <w:rPr>
          <w:rFonts w:ascii="Arial" w:hAnsi="Arial" w:cs="Arial"/>
          <w:b/>
          <w:sz w:val="28"/>
          <w:lang w:val="fr-FR"/>
        </w:rPr>
        <w:t>CÔTE D’IVOIRE</w:t>
      </w:r>
    </w:p>
    <w:p w14:paraId="3FE37F94" w14:textId="77777777" w:rsidR="00D224FD" w:rsidRPr="00FF16BD" w:rsidRDefault="00D224FD" w:rsidP="00B00D3D">
      <w:pPr>
        <w:jc w:val="center"/>
        <w:rPr>
          <w:rFonts w:ascii="Arial" w:hAnsi="Arial" w:cs="Arial"/>
          <w:b/>
          <w:sz w:val="28"/>
          <w:lang w:val="fr-FR"/>
        </w:rPr>
      </w:pPr>
    </w:p>
    <w:p w14:paraId="15A22A28" w14:textId="77777777" w:rsidR="00391398" w:rsidRPr="00FF16BD" w:rsidRDefault="00391398" w:rsidP="00B00D3D">
      <w:pPr>
        <w:jc w:val="center"/>
        <w:rPr>
          <w:rFonts w:ascii="Arial" w:hAnsi="Arial" w:cs="Arial"/>
          <w:b/>
          <w:sz w:val="28"/>
          <w:lang w:val="fr-FR"/>
        </w:rPr>
      </w:pPr>
      <w:r w:rsidRPr="00FF16BD">
        <w:rPr>
          <w:rFonts w:ascii="Arial" w:hAnsi="Arial" w:cs="Arial"/>
          <w:b/>
          <w:sz w:val="28"/>
          <w:lang w:val="fr-FR"/>
        </w:rPr>
        <w:t>REQUÊTE No 038/2016</w:t>
      </w:r>
    </w:p>
    <w:p w14:paraId="09380EC3" w14:textId="77777777" w:rsidR="00391398" w:rsidRPr="00FF16BD" w:rsidRDefault="00391398" w:rsidP="00B00D3D">
      <w:pPr>
        <w:jc w:val="center"/>
        <w:rPr>
          <w:rFonts w:ascii="Arial" w:hAnsi="Arial" w:cs="Arial"/>
          <w:b/>
          <w:sz w:val="28"/>
          <w:lang w:val="fr-FR"/>
        </w:rPr>
      </w:pPr>
    </w:p>
    <w:p w14:paraId="469AF43B" w14:textId="77777777" w:rsidR="00D224FD" w:rsidRPr="00FF16BD" w:rsidRDefault="00D224FD" w:rsidP="00B00D3D">
      <w:pPr>
        <w:jc w:val="center"/>
        <w:rPr>
          <w:rFonts w:ascii="Arial" w:hAnsi="Arial" w:cs="Arial"/>
          <w:b/>
          <w:sz w:val="28"/>
          <w:lang w:val="fr-FR"/>
        </w:rPr>
      </w:pPr>
    </w:p>
    <w:p w14:paraId="41984769" w14:textId="77777777" w:rsidR="00D224FD" w:rsidRPr="00FF16BD" w:rsidRDefault="00D224FD" w:rsidP="00B00D3D">
      <w:pPr>
        <w:jc w:val="center"/>
        <w:rPr>
          <w:rFonts w:ascii="Arial" w:hAnsi="Arial" w:cs="Arial"/>
          <w:b/>
          <w:sz w:val="28"/>
          <w:lang w:val="fr-FR"/>
        </w:rPr>
      </w:pPr>
    </w:p>
    <w:p w14:paraId="09F86808" w14:textId="77777777" w:rsidR="00D224FD" w:rsidRPr="00FF16BD" w:rsidRDefault="00391398" w:rsidP="00B00D3D">
      <w:pPr>
        <w:jc w:val="center"/>
        <w:rPr>
          <w:rFonts w:ascii="Arial" w:hAnsi="Arial" w:cs="Arial"/>
          <w:b/>
          <w:sz w:val="28"/>
          <w:lang w:val="fr-FR"/>
        </w:rPr>
      </w:pPr>
      <w:r w:rsidRPr="00FF16BD">
        <w:rPr>
          <w:rFonts w:ascii="Arial" w:hAnsi="Arial" w:cs="Arial"/>
          <w:b/>
          <w:sz w:val="28"/>
          <w:lang w:val="fr-FR"/>
        </w:rPr>
        <w:t>ARRÊT</w:t>
      </w:r>
    </w:p>
    <w:p w14:paraId="19BBA911" w14:textId="5A2C9380" w:rsidR="007B4A0E" w:rsidRPr="00FF16BD" w:rsidRDefault="00E66468" w:rsidP="00B00D3D">
      <w:pPr>
        <w:jc w:val="center"/>
        <w:rPr>
          <w:rFonts w:ascii="Arial" w:hAnsi="Arial" w:cs="Arial"/>
          <w:b/>
          <w:sz w:val="28"/>
          <w:lang w:val="fr-FR"/>
        </w:rPr>
      </w:pPr>
      <w:r w:rsidRPr="00FF16BD">
        <w:rPr>
          <w:rFonts w:ascii="Arial" w:hAnsi="Arial" w:cs="Arial"/>
          <w:b/>
          <w:sz w:val="28"/>
          <w:lang w:val="fr-FR"/>
        </w:rPr>
        <w:t>2</w:t>
      </w:r>
      <w:r w:rsidR="005C2EBC" w:rsidRPr="00FF16BD">
        <w:rPr>
          <w:rFonts w:ascii="Arial" w:hAnsi="Arial" w:cs="Arial"/>
          <w:b/>
          <w:sz w:val="28"/>
          <w:lang w:val="fr-FR"/>
        </w:rPr>
        <w:t>2</w:t>
      </w:r>
      <w:r w:rsidRPr="00FF16BD">
        <w:rPr>
          <w:rFonts w:ascii="Arial" w:hAnsi="Arial" w:cs="Arial"/>
          <w:b/>
          <w:sz w:val="28"/>
          <w:lang w:val="fr-FR"/>
        </w:rPr>
        <w:t xml:space="preserve"> </w:t>
      </w:r>
      <w:r w:rsidR="007B4A0E" w:rsidRPr="00FF16BD">
        <w:rPr>
          <w:rFonts w:ascii="Arial" w:hAnsi="Arial" w:cs="Arial"/>
          <w:b/>
          <w:sz w:val="28"/>
          <w:lang w:val="fr-FR"/>
        </w:rPr>
        <w:t>MARS 2018</w:t>
      </w:r>
    </w:p>
    <w:p w14:paraId="4F51A074" w14:textId="77777777" w:rsidR="00D224FD" w:rsidRPr="00FF16BD" w:rsidRDefault="00D224FD" w:rsidP="00917627">
      <w:pPr>
        <w:spacing w:line="360" w:lineRule="auto"/>
        <w:jc w:val="center"/>
        <w:rPr>
          <w:rFonts w:ascii="Arial" w:hAnsi="Arial" w:cs="Arial"/>
          <w:b/>
          <w:sz w:val="28"/>
          <w:szCs w:val="28"/>
          <w:lang w:val="fr-FR"/>
        </w:rPr>
      </w:pPr>
    </w:p>
    <w:p w14:paraId="1C27EF1D" w14:textId="77777777" w:rsidR="00B00D3D" w:rsidRPr="00FF16BD" w:rsidRDefault="00B00D3D">
      <w:pPr>
        <w:rPr>
          <w:rFonts w:ascii="Arial" w:eastAsia="Calibri" w:hAnsi="Arial" w:cs="Times New Roman"/>
          <w:b/>
          <w:bCs/>
          <w:sz w:val="24"/>
          <w:szCs w:val="24"/>
          <w:lang w:val="fr-FR"/>
        </w:rPr>
      </w:pPr>
      <w:r w:rsidRPr="00FF16BD">
        <w:rPr>
          <w:rFonts w:eastAsia="Calibri"/>
          <w:sz w:val="24"/>
        </w:rPr>
        <w:br w:type="page"/>
      </w:r>
    </w:p>
    <w:p w14:paraId="27CAB6FC" w14:textId="04B4C260" w:rsidR="00FF16BD" w:rsidRPr="00FF16BD" w:rsidRDefault="00FF16BD" w:rsidP="00FF16BD">
      <w:pPr>
        <w:pStyle w:val="Heading1"/>
        <w:rPr>
          <w:sz w:val="24"/>
        </w:rPr>
      </w:pPr>
      <w:bookmarkStart w:id="0" w:name="_Toc509567800"/>
      <w:r w:rsidRPr="00FF16BD">
        <w:rPr>
          <w:sz w:val="24"/>
        </w:rPr>
        <w:lastRenderedPageBreak/>
        <w:t>SOMMAIRE</w:t>
      </w:r>
      <w:bookmarkEnd w:id="0"/>
    </w:p>
    <w:sdt>
      <w:sdtPr>
        <w:rPr>
          <w:rFonts w:asciiTheme="minorHAnsi" w:eastAsiaTheme="minorHAnsi" w:hAnsiTheme="minorHAnsi" w:cstheme="minorBidi"/>
          <w:b w:val="0"/>
          <w:bCs w:val="0"/>
          <w:color w:val="auto"/>
          <w:sz w:val="22"/>
          <w:szCs w:val="22"/>
          <w:lang w:val="en-GB" w:eastAsia="en-US"/>
        </w:rPr>
        <w:id w:val="-491490754"/>
        <w:docPartObj>
          <w:docPartGallery w:val="Table of Contents"/>
          <w:docPartUnique/>
        </w:docPartObj>
      </w:sdtPr>
      <w:sdtEndPr>
        <w:rPr>
          <w:noProof/>
        </w:rPr>
      </w:sdtEndPr>
      <w:sdtContent>
        <w:p w14:paraId="055FE495" w14:textId="1BA4C85C" w:rsidR="00B00D3D" w:rsidRPr="00FF16BD" w:rsidRDefault="00B00D3D">
          <w:pPr>
            <w:pStyle w:val="TOCHeading"/>
            <w:rPr>
              <w:color w:val="auto"/>
            </w:rPr>
          </w:pPr>
        </w:p>
        <w:p w14:paraId="4EEA9B58" w14:textId="77777777" w:rsidR="00A0421C" w:rsidRPr="0049758E" w:rsidRDefault="00B00D3D" w:rsidP="00B8468C">
          <w:pPr>
            <w:pStyle w:val="TOC1"/>
            <w:rPr>
              <w:rFonts w:eastAsiaTheme="minorEastAsia"/>
              <w:noProof/>
              <w:lang w:eastAsia="en-GB"/>
            </w:rPr>
          </w:pPr>
          <w:r w:rsidRPr="0049758E">
            <w:fldChar w:fldCharType="begin"/>
          </w:r>
          <w:r w:rsidRPr="0049758E">
            <w:instrText xml:space="preserve"> TOC \o "1-3" \h \z \u </w:instrText>
          </w:r>
          <w:r w:rsidRPr="0049758E">
            <w:fldChar w:fldCharType="separate"/>
          </w:r>
          <w:hyperlink w:anchor="_Toc509567800" w:history="1">
            <w:r w:rsidR="00A0421C" w:rsidRPr="0049758E">
              <w:rPr>
                <w:rStyle w:val="Hyperlink"/>
                <w:rFonts w:ascii="Arial" w:hAnsi="Arial" w:cs="Arial"/>
                <w:noProof/>
                <w:sz w:val="24"/>
              </w:rPr>
              <w:t>SOMMAIRE</w:t>
            </w:r>
            <w:r w:rsidR="00A0421C" w:rsidRPr="0049758E">
              <w:rPr>
                <w:noProof/>
                <w:webHidden/>
              </w:rPr>
              <w:tab/>
            </w:r>
            <w:r w:rsidR="00A0421C" w:rsidRPr="0049758E">
              <w:rPr>
                <w:noProof/>
                <w:webHidden/>
              </w:rPr>
              <w:fldChar w:fldCharType="begin"/>
            </w:r>
            <w:r w:rsidR="00A0421C" w:rsidRPr="0049758E">
              <w:rPr>
                <w:noProof/>
                <w:webHidden/>
              </w:rPr>
              <w:instrText xml:space="preserve"> PAGEREF _Toc509567800 \h </w:instrText>
            </w:r>
            <w:r w:rsidR="00A0421C" w:rsidRPr="0049758E">
              <w:rPr>
                <w:noProof/>
                <w:webHidden/>
              </w:rPr>
            </w:r>
            <w:r w:rsidR="00A0421C" w:rsidRPr="0049758E">
              <w:rPr>
                <w:noProof/>
                <w:webHidden/>
              </w:rPr>
              <w:fldChar w:fldCharType="separate"/>
            </w:r>
            <w:r w:rsidR="009923C4">
              <w:rPr>
                <w:noProof/>
                <w:webHidden/>
              </w:rPr>
              <w:t>ii</w:t>
            </w:r>
            <w:r w:rsidR="00A0421C" w:rsidRPr="0049758E">
              <w:rPr>
                <w:noProof/>
                <w:webHidden/>
              </w:rPr>
              <w:fldChar w:fldCharType="end"/>
            </w:r>
          </w:hyperlink>
        </w:p>
        <w:p w14:paraId="195666BF" w14:textId="77777777" w:rsidR="00A0421C" w:rsidRPr="0049758E" w:rsidRDefault="00A0421C" w:rsidP="00B8468C">
          <w:pPr>
            <w:pStyle w:val="TOC1"/>
            <w:rPr>
              <w:rFonts w:eastAsiaTheme="minorEastAsia"/>
              <w:noProof/>
              <w:lang w:eastAsia="en-GB"/>
            </w:rPr>
          </w:pPr>
          <w:hyperlink w:anchor="_Toc509567801" w:history="1">
            <w:r w:rsidRPr="0049758E">
              <w:rPr>
                <w:rStyle w:val="Hyperlink"/>
                <w:rFonts w:ascii="Arial" w:hAnsi="Arial" w:cs="Arial"/>
                <w:noProof/>
                <w:sz w:val="24"/>
              </w:rPr>
              <w:t>I.</w:t>
            </w:r>
            <w:r w:rsidRPr="0049758E">
              <w:rPr>
                <w:rFonts w:eastAsiaTheme="minorEastAsia"/>
                <w:noProof/>
                <w:lang w:eastAsia="en-GB"/>
              </w:rPr>
              <w:tab/>
            </w:r>
            <w:r w:rsidRPr="0049758E">
              <w:rPr>
                <w:rStyle w:val="Hyperlink"/>
                <w:rFonts w:ascii="Arial" w:hAnsi="Arial" w:cs="Arial"/>
                <w:noProof/>
                <w:sz w:val="24"/>
              </w:rPr>
              <w:t>LES PARTIES</w:t>
            </w:r>
            <w:r w:rsidRPr="0049758E">
              <w:rPr>
                <w:noProof/>
                <w:webHidden/>
              </w:rPr>
              <w:tab/>
            </w:r>
            <w:r w:rsidRPr="0049758E">
              <w:rPr>
                <w:noProof/>
                <w:webHidden/>
              </w:rPr>
              <w:fldChar w:fldCharType="begin"/>
            </w:r>
            <w:r w:rsidRPr="0049758E">
              <w:rPr>
                <w:noProof/>
                <w:webHidden/>
              </w:rPr>
              <w:instrText xml:space="preserve"> PAGEREF _Toc509567801 \h </w:instrText>
            </w:r>
            <w:r w:rsidRPr="0049758E">
              <w:rPr>
                <w:noProof/>
                <w:webHidden/>
              </w:rPr>
            </w:r>
            <w:r w:rsidRPr="0049758E">
              <w:rPr>
                <w:noProof/>
                <w:webHidden/>
              </w:rPr>
              <w:fldChar w:fldCharType="separate"/>
            </w:r>
            <w:r w:rsidR="009923C4">
              <w:rPr>
                <w:noProof/>
                <w:webHidden/>
              </w:rPr>
              <w:t>2</w:t>
            </w:r>
            <w:r w:rsidRPr="0049758E">
              <w:rPr>
                <w:noProof/>
                <w:webHidden/>
              </w:rPr>
              <w:fldChar w:fldCharType="end"/>
            </w:r>
          </w:hyperlink>
        </w:p>
        <w:p w14:paraId="22B076D2" w14:textId="77777777" w:rsidR="00A0421C" w:rsidRPr="0049758E" w:rsidRDefault="00A0421C" w:rsidP="00B8468C">
          <w:pPr>
            <w:pStyle w:val="TOC1"/>
            <w:rPr>
              <w:rFonts w:eastAsiaTheme="minorEastAsia"/>
              <w:noProof/>
              <w:lang w:eastAsia="en-GB"/>
            </w:rPr>
          </w:pPr>
          <w:hyperlink w:anchor="_Toc509567802" w:history="1">
            <w:r w:rsidRPr="0049758E">
              <w:rPr>
                <w:rStyle w:val="Hyperlink"/>
                <w:rFonts w:ascii="Arial" w:hAnsi="Arial" w:cs="Arial"/>
                <w:noProof/>
                <w:sz w:val="24"/>
              </w:rPr>
              <w:t>II.</w:t>
            </w:r>
            <w:r w:rsidRPr="0049758E">
              <w:rPr>
                <w:rFonts w:eastAsiaTheme="minorEastAsia"/>
                <w:noProof/>
                <w:lang w:eastAsia="en-GB"/>
              </w:rPr>
              <w:tab/>
            </w:r>
            <w:r w:rsidRPr="0049758E">
              <w:rPr>
                <w:rStyle w:val="Hyperlink"/>
                <w:rFonts w:ascii="Arial" w:hAnsi="Arial" w:cs="Arial"/>
                <w:noProof/>
                <w:sz w:val="24"/>
              </w:rPr>
              <w:t>OBJET DE LA REQUÊTE</w:t>
            </w:r>
            <w:r w:rsidRPr="0049758E">
              <w:rPr>
                <w:noProof/>
                <w:webHidden/>
              </w:rPr>
              <w:tab/>
            </w:r>
            <w:r w:rsidRPr="0049758E">
              <w:rPr>
                <w:noProof/>
                <w:webHidden/>
              </w:rPr>
              <w:fldChar w:fldCharType="begin"/>
            </w:r>
            <w:r w:rsidRPr="0049758E">
              <w:rPr>
                <w:noProof/>
                <w:webHidden/>
              </w:rPr>
              <w:instrText xml:space="preserve"> PAGEREF _Toc509567802 \h </w:instrText>
            </w:r>
            <w:r w:rsidRPr="0049758E">
              <w:rPr>
                <w:noProof/>
                <w:webHidden/>
              </w:rPr>
            </w:r>
            <w:r w:rsidRPr="0049758E">
              <w:rPr>
                <w:noProof/>
                <w:webHidden/>
              </w:rPr>
              <w:fldChar w:fldCharType="separate"/>
            </w:r>
            <w:r w:rsidR="009923C4">
              <w:rPr>
                <w:noProof/>
                <w:webHidden/>
              </w:rPr>
              <w:t>2</w:t>
            </w:r>
            <w:r w:rsidRPr="0049758E">
              <w:rPr>
                <w:noProof/>
                <w:webHidden/>
              </w:rPr>
              <w:fldChar w:fldCharType="end"/>
            </w:r>
          </w:hyperlink>
        </w:p>
        <w:p w14:paraId="66CB0A10" w14:textId="77777777" w:rsidR="00A0421C" w:rsidRPr="0049758E" w:rsidRDefault="00A0421C" w:rsidP="00B8468C">
          <w:pPr>
            <w:pStyle w:val="TOC2"/>
            <w:rPr>
              <w:rFonts w:eastAsiaTheme="minorEastAsia"/>
              <w:noProof/>
              <w:lang w:eastAsia="en-GB"/>
            </w:rPr>
          </w:pPr>
          <w:hyperlink w:anchor="_Toc509567803" w:history="1">
            <w:r w:rsidRPr="0049758E">
              <w:rPr>
                <w:rStyle w:val="Hyperlink"/>
                <w:rFonts w:ascii="Arial" w:hAnsi="Arial" w:cs="Arial"/>
                <w:noProof/>
                <w:sz w:val="24"/>
                <w:lang w:val="fr-FR"/>
              </w:rPr>
              <w:t>A.</w:t>
            </w:r>
            <w:r w:rsidRPr="0049758E">
              <w:rPr>
                <w:rFonts w:eastAsiaTheme="minorEastAsia"/>
                <w:noProof/>
                <w:lang w:eastAsia="en-GB"/>
              </w:rPr>
              <w:tab/>
            </w:r>
            <w:r w:rsidRPr="0049758E">
              <w:rPr>
                <w:rStyle w:val="Hyperlink"/>
                <w:rFonts w:ascii="Arial" w:hAnsi="Arial" w:cs="Arial"/>
                <w:noProof/>
                <w:sz w:val="24"/>
                <w:lang w:val="fr-FR"/>
              </w:rPr>
              <w:t>Les faits</w:t>
            </w:r>
            <w:r w:rsidRPr="0049758E">
              <w:rPr>
                <w:noProof/>
                <w:webHidden/>
              </w:rPr>
              <w:tab/>
            </w:r>
            <w:r w:rsidRPr="0049758E">
              <w:rPr>
                <w:noProof/>
                <w:webHidden/>
              </w:rPr>
              <w:fldChar w:fldCharType="begin"/>
            </w:r>
            <w:r w:rsidRPr="0049758E">
              <w:rPr>
                <w:noProof/>
                <w:webHidden/>
              </w:rPr>
              <w:instrText xml:space="preserve"> PAGEREF _Toc509567803 \h </w:instrText>
            </w:r>
            <w:r w:rsidRPr="0049758E">
              <w:rPr>
                <w:noProof/>
                <w:webHidden/>
              </w:rPr>
            </w:r>
            <w:r w:rsidRPr="0049758E">
              <w:rPr>
                <w:noProof/>
                <w:webHidden/>
              </w:rPr>
              <w:fldChar w:fldCharType="separate"/>
            </w:r>
            <w:r w:rsidR="009923C4">
              <w:rPr>
                <w:noProof/>
                <w:webHidden/>
              </w:rPr>
              <w:t>2</w:t>
            </w:r>
            <w:r w:rsidRPr="0049758E">
              <w:rPr>
                <w:noProof/>
                <w:webHidden/>
              </w:rPr>
              <w:fldChar w:fldCharType="end"/>
            </w:r>
          </w:hyperlink>
        </w:p>
        <w:p w14:paraId="164DF55C" w14:textId="77777777" w:rsidR="00A0421C" w:rsidRPr="0049758E" w:rsidRDefault="00A0421C" w:rsidP="00B8468C">
          <w:pPr>
            <w:pStyle w:val="TOC2"/>
            <w:rPr>
              <w:rFonts w:eastAsiaTheme="minorEastAsia"/>
              <w:noProof/>
              <w:lang w:eastAsia="en-GB"/>
            </w:rPr>
          </w:pPr>
          <w:hyperlink w:anchor="_Toc509567804" w:history="1">
            <w:r w:rsidRPr="0049758E">
              <w:rPr>
                <w:rStyle w:val="Hyperlink"/>
                <w:rFonts w:ascii="Arial" w:hAnsi="Arial" w:cs="Arial"/>
                <w:noProof/>
                <w:sz w:val="24"/>
                <w:lang w:val="fr-FR"/>
              </w:rPr>
              <w:t>B.</w:t>
            </w:r>
            <w:r w:rsidRPr="0049758E">
              <w:rPr>
                <w:rFonts w:eastAsiaTheme="minorEastAsia"/>
                <w:noProof/>
                <w:lang w:eastAsia="en-GB"/>
              </w:rPr>
              <w:tab/>
            </w:r>
            <w:r w:rsidRPr="0049758E">
              <w:rPr>
                <w:rStyle w:val="Hyperlink"/>
                <w:rFonts w:ascii="Arial" w:hAnsi="Arial" w:cs="Arial"/>
                <w:noProof/>
                <w:sz w:val="24"/>
                <w:lang w:val="fr-FR"/>
              </w:rPr>
              <w:t>Les violations alléguées</w:t>
            </w:r>
            <w:r w:rsidRPr="0049758E">
              <w:rPr>
                <w:noProof/>
                <w:webHidden/>
              </w:rPr>
              <w:tab/>
            </w:r>
            <w:r w:rsidRPr="0049758E">
              <w:rPr>
                <w:noProof/>
                <w:webHidden/>
              </w:rPr>
              <w:fldChar w:fldCharType="begin"/>
            </w:r>
            <w:r w:rsidRPr="0049758E">
              <w:rPr>
                <w:noProof/>
                <w:webHidden/>
              </w:rPr>
              <w:instrText xml:space="preserve"> PAGEREF _Toc509567804 \h </w:instrText>
            </w:r>
            <w:r w:rsidRPr="0049758E">
              <w:rPr>
                <w:noProof/>
                <w:webHidden/>
              </w:rPr>
            </w:r>
            <w:r w:rsidRPr="0049758E">
              <w:rPr>
                <w:noProof/>
                <w:webHidden/>
              </w:rPr>
              <w:fldChar w:fldCharType="separate"/>
            </w:r>
            <w:r w:rsidR="009923C4">
              <w:rPr>
                <w:noProof/>
                <w:webHidden/>
              </w:rPr>
              <w:t>3</w:t>
            </w:r>
            <w:r w:rsidRPr="0049758E">
              <w:rPr>
                <w:noProof/>
                <w:webHidden/>
              </w:rPr>
              <w:fldChar w:fldCharType="end"/>
            </w:r>
          </w:hyperlink>
        </w:p>
        <w:p w14:paraId="47CA9354" w14:textId="77777777" w:rsidR="00A0421C" w:rsidRPr="0049758E" w:rsidRDefault="00A0421C" w:rsidP="00B8468C">
          <w:pPr>
            <w:pStyle w:val="TOC1"/>
            <w:rPr>
              <w:rFonts w:eastAsiaTheme="minorEastAsia"/>
              <w:noProof/>
              <w:lang w:eastAsia="en-GB"/>
            </w:rPr>
          </w:pPr>
          <w:hyperlink w:anchor="_Toc509567805" w:history="1">
            <w:r w:rsidRPr="0049758E">
              <w:rPr>
                <w:rStyle w:val="Hyperlink"/>
                <w:rFonts w:ascii="Arial" w:hAnsi="Arial" w:cs="Arial"/>
                <w:noProof/>
                <w:sz w:val="24"/>
              </w:rPr>
              <w:t>III.</w:t>
            </w:r>
            <w:r w:rsidRPr="0049758E">
              <w:rPr>
                <w:rFonts w:eastAsiaTheme="minorEastAsia"/>
                <w:noProof/>
                <w:lang w:eastAsia="en-GB"/>
              </w:rPr>
              <w:tab/>
            </w:r>
            <w:r w:rsidRPr="0049758E">
              <w:rPr>
                <w:rStyle w:val="Hyperlink"/>
                <w:rFonts w:ascii="Arial" w:hAnsi="Arial" w:cs="Arial"/>
                <w:noProof/>
                <w:sz w:val="24"/>
              </w:rPr>
              <w:t>RÉSUMÉ DE LA PROCÉDURE DEVANT LA COUR</w:t>
            </w:r>
            <w:r w:rsidRPr="0049758E">
              <w:rPr>
                <w:noProof/>
                <w:webHidden/>
              </w:rPr>
              <w:tab/>
            </w:r>
            <w:r w:rsidRPr="0049758E">
              <w:rPr>
                <w:noProof/>
                <w:webHidden/>
              </w:rPr>
              <w:fldChar w:fldCharType="begin"/>
            </w:r>
            <w:r w:rsidRPr="0049758E">
              <w:rPr>
                <w:noProof/>
                <w:webHidden/>
              </w:rPr>
              <w:instrText xml:space="preserve"> PAGEREF _Toc509567805 \h </w:instrText>
            </w:r>
            <w:r w:rsidRPr="0049758E">
              <w:rPr>
                <w:noProof/>
                <w:webHidden/>
              </w:rPr>
            </w:r>
            <w:r w:rsidRPr="0049758E">
              <w:rPr>
                <w:noProof/>
                <w:webHidden/>
              </w:rPr>
              <w:fldChar w:fldCharType="separate"/>
            </w:r>
            <w:r w:rsidR="009923C4">
              <w:rPr>
                <w:noProof/>
                <w:webHidden/>
              </w:rPr>
              <w:t>4</w:t>
            </w:r>
            <w:r w:rsidRPr="0049758E">
              <w:rPr>
                <w:noProof/>
                <w:webHidden/>
              </w:rPr>
              <w:fldChar w:fldCharType="end"/>
            </w:r>
          </w:hyperlink>
        </w:p>
        <w:p w14:paraId="4182CD3D" w14:textId="77777777" w:rsidR="00A0421C" w:rsidRPr="0049758E" w:rsidRDefault="00A0421C" w:rsidP="00B8468C">
          <w:pPr>
            <w:pStyle w:val="TOC1"/>
            <w:rPr>
              <w:rFonts w:eastAsiaTheme="minorEastAsia"/>
              <w:noProof/>
              <w:lang w:eastAsia="en-GB"/>
            </w:rPr>
          </w:pPr>
          <w:hyperlink w:anchor="_Toc509567806" w:history="1">
            <w:r w:rsidRPr="0049758E">
              <w:rPr>
                <w:rStyle w:val="Hyperlink"/>
                <w:rFonts w:ascii="Arial" w:hAnsi="Arial" w:cs="Arial"/>
                <w:noProof/>
                <w:sz w:val="24"/>
              </w:rPr>
              <w:t>IV.</w:t>
            </w:r>
            <w:r w:rsidRPr="0049758E">
              <w:rPr>
                <w:rFonts w:eastAsiaTheme="minorEastAsia"/>
                <w:noProof/>
                <w:lang w:eastAsia="en-GB"/>
              </w:rPr>
              <w:tab/>
            </w:r>
            <w:r w:rsidRPr="0049758E">
              <w:rPr>
                <w:rStyle w:val="Hyperlink"/>
                <w:rFonts w:ascii="Arial" w:hAnsi="Arial" w:cs="Arial"/>
                <w:noProof/>
                <w:sz w:val="24"/>
              </w:rPr>
              <w:t>DEMANDES DES PARTIES</w:t>
            </w:r>
            <w:r w:rsidRPr="0049758E">
              <w:rPr>
                <w:noProof/>
                <w:webHidden/>
              </w:rPr>
              <w:tab/>
            </w:r>
            <w:r w:rsidRPr="0049758E">
              <w:rPr>
                <w:noProof/>
                <w:webHidden/>
              </w:rPr>
              <w:fldChar w:fldCharType="begin"/>
            </w:r>
            <w:r w:rsidRPr="0049758E">
              <w:rPr>
                <w:noProof/>
                <w:webHidden/>
              </w:rPr>
              <w:instrText xml:space="preserve"> PAGEREF _Toc509567806 \h </w:instrText>
            </w:r>
            <w:r w:rsidRPr="0049758E">
              <w:rPr>
                <w:noProof/>
                <w:webHidden/>
              </w:rPr>
            </w:r>
            <w:r w:rsidRPr="0049758E">
              <w:rPr>
                <w:noProof/>
                <w:webHidden/>
              </w:rPr>
              <w:fldChar w:fldCharType="separate"/>
            </w:r>
            <w:r w:rsidR="009923C4">
              <w:rPr>
                <w:noProof/>
                <w:webHidden/>
              </w:rPr>
              <w:t>5</w:t>
            </w:r>
            <w:r w:rsidRPr="0049758E">
              <w:rPr>
                <w:noProof/>
                <w:webHidden/>
              </w:rPr>
              <w:fldChar w:fldCharType="end"/>
            </w:r>
          </w:hyperlink>
        </w:p>
        <w:p w14:paraId="52088130" w14:textId="77777777" w:rsidR="00A0421C" w:rsidRPr="0049758E" w:rsidRDefault="00A0421C" w:rsidP="00B8468C">
          <w:pPr>
            <w:pStyle w:val="TOC1"/>
            <w:rPr>
              <w:rFonts w:eastAsiaTheme="minorEastAsia"/>
              <w:noProof/>
              <w:lang w:eastAsia="en-GB"/>
            </w:rPr>
          </w:pPr>
          <w:hyperlink w:anchor="_Toc509567807" w:history="1">
            <w:r w:rsidRPr="0049758E">
              <w:rPr>
                <w:rStyle w:val="Hyperlink"/>
                <w:rFonts w:ascii="Arial" w:hAnsi="Arial" w:cs="Arial"/>
                <w:noProof/>
                <w:sz w:val="24"/>
              </w:rPr>
              <w:t>V.</w:t>
            </w:r>
            <w:r w:rsidRPr="0049758E">
              <w:rPr>
                <w:rFonts w:eastAsiaTheme="minorEastAsia"/>
                <w:noProof/>
                <w:lang w:eastAsia="en-GB"/>
              </w:rPr>
              <w:tab/>
            </w:r>
            <w:r w:rsidRPr="0049758E">
              <w:rPr>
                <w:rStyle w:val="Hyperlink"/>
                <w:rFonts w:ascii="Arial" w:hAnsi="Arial" w:cs="Arial"/>
                <w:noProof/>
                <w:sz w:val="24"/>
              </w:rPr>
              <w:t>SUR LA COMPÉTENCE</w:t>
            </w:r>
            <w:r w:rsidRPr="0049758E">
              <w:rPr>
                <w:noProof/>
                <w:webHidden/>
              </w:rPr>
              <w:tab/>
            </w:r>
            <w:r w:rsidRPr="0049758E">
              <w:rPr>
                <w:noProof/>
                <w:webHidden/>
              </w:rPr>
              <w:fldChar w:fldCharType="begin"/>
            </w:r>
            <w:r w:rsidRPr="0049758E">
              <w:rPr>
                <w:noProof/>
                <w:webHidden/>
              </w:rPr>
              <w:instrText xml:space="preserve"> PAGEREF _Toc509567807 \h </w:instrText>
            </w:r>
            <w:r w:rsidRPr="0049758E">
              <w:rPr>
                <w:noProof/>
                <w:webHidden/>
              </w:rPr>
            </w:r>
            <w:r w:rsidRPr="0049758E">
              <w:rPr>
                <w:noProof/>
                <w:webHidden/>
              </w:rPr>
              <w:fldChar w:fldCharType="separate"/>
            </w:r>
            <w:r w:rsidR="009923C4">
              <w:rPr>
                <w:noProof/>
                <w:webHidden/>
              </w:rPr>
              <w:t>6</w:t>
            </w:r>
            <w:r w:rsidRPr="0049758E">
              <w:rPr>
                <w:noProof/>
                <w:webHidden/>
              </w:rPr>
              <w:fldChar w:fldCharType="end"/>
            </w:r>
          </w:hyperlink>
        </w:p>
        <w:p w14:paraId="2B50FB16" w14:textId="77777777" w:rsidR="00A0421C" w:rsidRPr="0049758E" w:rsidRDefault="00A0421C" w:rsidP="00B8468C">
          <w:pPr>
            <w:pStyle w:val="TOC1"/>
            <w:rPr>
              <w:rFonts w:eastAsiaTheme="minorEastAsia"/>
              <w:noProof/>
              <w:lang w:eastAsia="en-GB"/>
            </w:rPr>
          </w:pPr>
          <w:hyperlink w:anchor="_Toc509567808" w:history="1">
            <w:r w:rsidRPr="0049758E">
              <w:rPr>
                <w:rStyle w:val="Hyperlink"/>
                <w:rFonts w:ascii="Arial" w:hAnsi="Arial" w:cs="Arial"/>
                <w:noProof/>
                <w:sz w:val="24"/>
              </w:rPr>
              <w:t>VI.</w:t>
            </w:r>
            <w:r w:rsidRPr="0049758E">
              <w:rPr>
                <w:rFonts w:eastAsiaTheme="minorEastAsia"/>
                <w:noProof/>
                <w:lang w:eastAsia="en-GB"/>
              </w:rPr>
              <w:tab/>
            </w:r>
            <w:r w:rsidRPr="0049758E">
              <w:rPr>
                <w:rStyle w:val="Hyperlink"/>
                <w:rFonts w:ascii="Arial" w:hAnsi="Arial" w:cs="Arial"/>
                <w:noProof/>
                <w:sz w:val="24"/>
              </w:rPr>
              <w:t>SUR LA RECEVABILITÉ</w:t>
            </w:r>
            <w:r w:rsidRPr="0049758E">
              <w:rPr>
                <w:noProof/>
                <w:webHidden/>
              </w:rPr>
              <w:tab/>
            </w:r>
            <w:r w:rsidRPr="0049758E">
              <w:rPr>
                <w:noProof/>
                <w:webHidden/>
              </w:rPr>
              <w:fldChar w:fldCharType="begin"/>
            </w:r>
            <w:r w:rsidRPr="0049758E">
              <w:rPr>
                <w:noProof/>
                <w:webHidden/>
              </w:rPr>
              <w:instrText xml:space="preserve"> PAGEREF _Toc509567808 \h </w:instrText>
            </w:r>
            <w:r w:rsidRPr="0049758E">
              <w:rPr>
                <w:noProof/>
                <w:webHidden/>
              </w:rPr>
            </w:r>
            <w:r w:rsidRPr="0049758E">
              <w:rPr>
                <w:noProof/>
                <w:webHidden/>
              </w:rPr>
              <w:fldChar w:fldCharType="separate"/>
            </w:r>
            <w:r w:rsidR="009923C4">
              <w:rPr>
                <w:noProof/>
                <w:webHidden/>
              </w:rPr>
              <w:t>7</w:t>
            </w:r>
            <w:r w:rsidRPr="0049758E">
              <w:rPr>
                <w:noProof/>
                <w:webHidden/>
              </w:rPr>
              <w:fldChar w:fldCharType="end"/>
            </w:r>
          </w:hyperlink>
        </w:p>
        <w:p w14:paraId="5CBD3D01" w14:textId="77777777" w:rsidR="00A0421C" w:rsidRPr="0049758E" w:rsidRDefault="00A0421C" w:rsidP="00B8468C">
          <w:pPr>
            <w:pStyle w:val="TOC2"/>
            <w:rPr>
              <w:rFonts w:eastAsiaTheme="minorEastAsia"/>
              <w:noProof/>
              <w:lang w:eastAsia="en-GB"/>
            </w:rPr>
          </w:pPr>
          <w:hyperlink w:anchor="_Toc509567809" w:history="1">
            <w:r w:rsidRPr="0049758E">
              <w:rPr>
                <w:rStyle w:val="Hyperlink"/>
                <w:rFonts w:ascii="Arial" w:hAnsi="Arial" w:cs="Arial"/>
                <w:noProof/>
                <w:sz w:val="24"/>
                <w:lang w:val="fr-FR"/>
              </w:rPr>
              <w:t>A.</w:t>
            </w:r>
            <w:r w:rsidRPr="0049758E">
              <w:rPr>
                <w:rFonts w:eastAsiaTheme="minorEastAsia"/>
                <w:noProof/>
                <w:lang w:eastAsia="en-GB"/>
              </w:rPr>
              <w:tab/>
            </w:r>
            <w:r w:rsidRPr="0049758E">
              <w:rPr>
                <w:rStyle w:val="Hyperlink"/>
                <w:rFonts w:ascii="Arial" w:hAnsi="Arial" w:cs="Arial"/>
                <w:noProof/>
                <w:sz w:val="24"/>
                <w:lang w:val="fr-FR"/>
              </w:rPr>
              <w:t>Exception tirée du non-épuisement des voies de recours internes</w:t>
            </w:r>
            <w:r w:rsidRPr="0049758E">
              <w:rPr>
                <w:noProof/>
                <w:webHidden/>
              </w:rPr>
              <w:tab/>
            </w:r>
            <w:r w:rsidRPr="0049758E">
              <w:rPr>
                <w:noProof/>
                <w:webHidden/>
              </w:rPr>
              <w:fldChar w:fldCharType="begin"/>
            </w:r>
            <w:r w:rsidRPr="0049758E">
              <w:rPr>
                <w:noProof/>
                <w:webHidden/>
              </w:rPr>
              <w:instrText xml:space="preserve"> PAGEREF _Toc509567809 \h </w:instrText>
            </w:r>
            <w:r w:rsidRPr="0049758E">
              <w:rPr>
                <w:noProof/>
                <w:webHidden/>
              </w:rPr>
            </w:r>
            <w:r w:rsidRPr="0049758E">
              <w:rPr>
                <w:noProof/>
                <w:webHidden/>
              </w:rPr>
              <w:fldChar w:fldCharType="separate"/>
            </w:r>
            <w:r w:rsidR="009923C4">
              <w:rPr>
                <w:noProof/>
                <w:webHidden/>
              </w:rPr>
              <w:t>8</w:t>
            </w:r>
            <w:r w:rsidRPr="0049758E">
              <w:rPr>
                <w:noProof/>
                <w:webHidden/>
              </w:rPr>
              <w:fldChar w:fldCharType="end"/>
            </w:r>
          </w:hyperlink>
        </w:p>
        <w:p w14:paraId="62DA2A2D" w14:textId="538C4C40" w:rsidR="00A0421C" w:rsidRPr="0049758E" w:rsidRDefault="00A0421C" w:rsidP="00B8468C">
          <w:pPr>
            <w:pStyle w:val="TOC2"/>
            <w:rPr>
              <w:rFonts w:eastAsiaTheme="minorEastAsia"/>
              <w:noProof/>
              <w:lang w:eastAsia="en-GB"/>
            </w:rPr>
          </w:pPr>
          <w:hyperlink w:anchor="_Toc509567810" w:history="1">
            <w:r w:rsidRPr="0049758E">
              <w:rPr>
                <w:rStyle w:val="Hyperlink"/>
                <w:rFonts w:ascii="Arial" w:hAnsi="Arial" w:cs="Arial"/>
                <w:noProof/>
                <w:sz w:val="24"/>
                <w:lang w:val="fr-FR"/>
              </w:rPr>
              <w:t>B.</w:t>
            </w:r>
            <w:r w:rsidRPr="0049758E">
              <w:rPr>
                <w:rFonts w:eastAsiaTheme="minorEastAsia"/>
                <w:noProof/>
                <w:lang w:eastAsia="en-GB"/>
              </w:rPr>
              <w:tab/>
            </w:r>
            <w:r w:rsidRPr="0049758E">
              <w:rPr>
                <w:rStyle w:val="Hyperlink"/>
                <w:rFonts w:ascii="Arial" w:hAnsi="Arial" w:cs="Arial"/>
                <w:noProof/>
                <w:sz w:val="24"/>
                <w:lang w:val="fr-FR"/>
              </w:rPr>
              <w:t xml:space="preserve">Exception tirée du défaut d’introduction de la Requête dans un délai </w:t>
            </w:r>
            <w:r w:rsidR="00B8468C">
              <w:rPr>
                <w:rStyle w:val="Hyperlink"/>
                <w:rFonts w:ascii="Arial" w:hAnsi="Arial" w:cs="Arial"/>
                <w:noProof/>
                <w:sz w:val="24"/>
                <w:lang w:val="fr-FR"/>
              </w:rPr>
              <w:t xml:space="preserve">  </w:t>
            </w:r>
            <w:r w:rsidRPr="0049758E">
              <w:rPr>
                <w:rStyle w:val="Hyperlink"/>
                <w:rFonts w:ascii="Arial" w:hAnsi="Arial" w:cs="Arial"/>
                <w:noProof/>
                <w:sz w:val="24"/>
                <w:lang w:val="fr-FR"/>
              </w:rPr>
              <w:t>raisonnable</w:t>
            </w:r>
            <w:r w:rsidRPr="0049758E">
              <w:rPr>
                <w:noProof/>
                <w:webHidden/>
              </w:rPr>
              <w:tab/>
            </w:r>
            <w:r w:rsidRPr="0049758E">
              <w:rPr>
                <w:noProof/>
                <w:webHidden/>
              </w:rPr>
              <w:fldChar w:fldCharType="begin"/>
            </w:r>
            <w:r w:rsidRPr="0049758E">
              <w:rPr>
                <w:noProof/>
                <w:webHidden/>
              </w:rPr>
              <w:instrText xml:space="preserve"> PAGEREF _Toc509567810 \h </w:instrText>
            </w:r>
            <w:r w:rsidRPr="0049758E">
              <w:rPr>
                <w:noProof/>
                <w:webHidden/>
              </w:rPr>
            </w:r>
            <w:r w:rsidRPr="0049758E">
              <w:rPr>
                <w:noProof/>
                <w:webHidden/>
              </w:rPr>
              <w:fldChar w:fldCharType="separate"/>
            </w:r>
            <w:r w:rsidR="009923C4">
              <w:rPr>
                <w:noProof/>
                <w:webHidden/>
              </w:rPr>
              <w:t>10</w:t>
            </w:r>
            <w:r w:rsidRPr="0049758E">
              <w:rPr>
                <w:noProof/>
                <w:webHidden/>
              </w:rPr>
              <w:fldChar w:fldCharType="end"/>
            </w:r>
          </w:hyperlink>
        </w:p>
        <w:p w14:paraId="6690DFE1" w14:textId="77777777" w:rsidR="00A0421C" w:rsidRPr="0049758E" w:rsidRDefault="00A0421C" w:rsidP="00B8468C">
          <w:pPr>
            <w:pStyle w:val="TOC2"/>
            <w:rPr>
              <w:rFonts w:eastAsiaTheme="minorEastAsia"/>
              <w:noProof/>
              <w:lang w:eastAsia="en-GB"/>
            </w:rPr>
          </w:pPr>
          <w:hyperlink w:anchor="_Toc509567811" w:history="1">
            <w:r w:rsidRPr="0049758E">
              <w:rPr>
                <w:rStyle w:val="Hyperlink"/>
                <w:rFonts w:ascii="Arial" w:hAnsi="Arial" w:cs="Arial"/>
                <w:noProof/>
                <w:sz w:val="24"/>
                <w:lang w:val="fr-FR"/>
              </w:rPr>
              <w:t>C.</w:t>
            </w:r>
            <w:r w:rsidRPr="0049758E">
              <w:rPr>
                <w:rFonts w:eastAsiaTheme="minorEastAsia"/>
                <w:noProof/>
                <w:lang w:eastAsia="en-GB"/>
              </w:rPr>
              <w:tab/>
            </w:r>
            <w:r w:rsidRPr="0049758E">
              <w:rPr>
                <w:rStyle w:val="Hyperlink"/>
                <w:rFonts w:ascii="Arial" w:hAnsi="Arial" w:cs="Arial"/>
                <w:noProof/>
                <w:sz w:val="24"/>
                <w:lang w:val="fr-FR"/>
              </w:rPr>
              <w:t>Exception tirée du règlement antérieur du différend par la Cour de justice de la CEDEAO</w:t>
            </w:r>
            <w:r w:rsidRPr="0049758E">
              <w:rPr>
                <w:noProof/>
                <w:webHidden/>
              </w:rPr>
              <w:tab/>
            </w:r>
            <w:r w:rsidRPr="0049758E">
              <w:rPr>
                <w:noProof/>
                <w:webHidden/>
              </w:rPr>
              <w:fldChar w:fldCharType="begin"/>
            </w:r>
            <w:r w:rsidRPr="0049758E">
              <w:rPr>
                <w:noProof/>
                <w:webHidden/>
              </w:rPr>
              <w:instrText xml:space="preserve"> PAGEREF _Toc509567811 \h </w:instrText>
            </w:r>
            <w:r w:rsidRPr="0049758E">
              <w:rPr>
                <w:noProof/>
                <w:webHidden/>
              </w:rPr>
            </w:r>
            <w:r w:rsidRPr="0049758E">
              <w:rPr>
                <w:noProof/>
                <w:webHidden/>
              </w:rPr>
              <w:fldChar w:fldCharType="separate"/>
            </w:r>
            <w:r w:rsidR="009923C4">
              <w:rPr>
                <w:noProof/>
                <w:webHidden/>
              </w:rPr>
              <w:t>12</w:t>
            </w:r>
            <w:r w:rsidRPr="0049758E">
              <w:rPr>
                <w:noProof/>
                <w:webHidden/>
              </w:rPr>
              <w:fldChar w:fldCharType="end"/>
            </w:r>
          </w:hyperlink>
        </w:p>
        <w:p w14:paraId="5EE9AB47" w14:textId="77777777" w:rsidR="00A0421C" w:rsidRPr="0049758E" w:rsidRDefault="00A0421C" w:rsidP="00B8468C">
          <w:pPr>
            <w:pStyle w:val="TOC1"/>
            <w:rPr>
              <w:rFonts w:eastAsiaTheme="minorEastAsia"/>
              <w:noProof/>
              <w:lang w:eastAsia="en-GB"/>
            </w:rPr>
          </w:pPr>
          <w:hyperlink w:anchor="_Toc509567812" w:history="1">
            <w:r w:rsidRPr="0049758E">
              <w:rPr>
                <w:rStyle w:val="Hyperlink"/>
                <w:rFonts w:ascii="Arial" w:eastAsia="Calibri" w:hAnsi="Arial" w:cs="Arial"/>
                <w:noProof/>
                <w:sz w:val="24"/>
              </w:rPr>
              <w:t>VII.</w:t>
            </w:r>
            <w:r w:rsidRPr="0049758E">
              <w:rPr>
                <w:rFonts w:eastAsiaTheme="minorEastAsia"/>
                <w:noProof/>
                <w:lang w:eastAsia="en-GB"/>
              </w:rPr>
              <w:tab/>
            </w:r>
            <w:r w:rsidRPr="0049758E">
              <w:rPr>
                <w:rStyle w:val="Hyperlink"/>
                <w:rFonts w:ascii="Arial" w:eastAsia="Calibri" w:hAnsi="Arial" w:cs="Arial"/>
                <w:noProof/>
                <w:sz w:val="24"/>
              </w:rPr>
              <w:t>FRAIS DE PROCÉDURE</w:t>
            </w:r>
            <w:r w:rsidRPr="0049758E">
              <w:rPr>
                <w:noProof/>
                <w:webHidden/>
              </w:rPr>
              <w:tab/>
            </w:r>
            <w:r w:rsidRPr="0049758E">
              <w:rPr>
                <w:noProof/>
                <w:webHidden/>
              </w:rPr>
              <w:fldChar w:fldCharType="begin"/>
            </w:r>
            <w:r w:rsidRPr="0049758E">
              <w:rPr>
                <w:noProof/>
                <w:webHidden/>
              </w:rPr>
              <w:instrText xml:space="preserve"> PAGEREF _Toc509567812 \h </w:instrText>
            </w:r>
            <w:r w:rsidRPr="0049758E">
              <w:rPr>
                <w:noProof/>
                <w:webHidden/>
              </w:rPr>
            </w:r>
            <w:r w:rsidRPr="0049758E">
              <w:rPr>
                <w:noProof/>
                <w:webHidden/>
              </w:rPr>
              <w:fldChar w:fldCharType="separate"/>
            </w:r>
            <w:r w:rsidR="009923C4">
              <w:rPr>
                <w:noProof/>
                <w:webHidden/>
              </w:rPr>
              <w:t>17</w:t>
            </w:r>
            <w:r w:rsidRPr="0049758E">
              <w:rPr>
                <w:noProof/>
                <w:webHidden/>
              </w:rPr>
              <w:fldChar w:fldCharType="end"/>
            </w:r>
          </w:hyperlink>
        </w:p>
        <w:p w14:paraId="455CBC40" w14:textId="77777777" w:rsidR="00A0421C" w:rsidRPr="0049758E" w:rsidRDefault="00A0421C" w:rsidP="00B8468C">
          <w:pPr>
            <w:pStyle w:val="TOC1"/>
            <w:rPr>
              <w:rFonts w:eastAsiaTheme="minorEastAsia"/>
              <w:noProof/>
              <w:lang w:eastAsia="en-GB"/>
            </w:rPr>
          </w:pPr>
          <w:hyperlink w:anchor="_Toc509567813" w:history="1">
            <w:r w:rsidRPr="0049758E">
              <w:rPr>
                <w:rStyle w:val="Hyperlink"/>
                <w:rFonts w:ascii="Arial" w:eastAsia="Calibri" w:hAnsi="Arial" w:cs="Arial"/>
                <w:noProof/>
                <w:sz w:val="24"/>
              </w:rPr>
              <w:t>VIII.</w:t>
            </w:r>
            <w:r w:rsidRPr="0049758E">
              <w:rPr>
                <w:rFonts w:eastAsiaTheme="minorEastAsia"/>
                <w:noProof/>
                <w:lang w:eastAsia="en-GB"/>
              </w:rPr>
              <w:tab/>
            </w:r>
            <w:r w:rsidRPr="0049758E">
              <w:rPr>
                <w:rStyle w:val="Hyperlink"/>
                <w:rFonts w:ascii="Arial" w:eastAsia="Calibri" w:hAnsi="Arial" w:cs="Arial"/>
                <w:noProof/>
                <w:sz w:val="24"/>
              </w:rPr>
              <w:t>DISPOSITIF</w:t>
            </w:r>
            <w:r w:rsidRPr="0049758E">
              <w:rPr>
                <w:noProof/>
                <w:webHidden/>
              </w:rPr>
              <w:tab/>
            </w:r>
            <w:r w:rsidRPr="0049758E">
              <w:rPr>
                <w:noProof/>
                <w:webHidden/>
              </w:rPr>
              <w:fldChar w:fldCharType="begin"/>
            </w:r>
            <w:r w:rsidRPr="0049758E">
              <w:rPr>
                <w:noProof/>
                <w:webHidden/>
              </w:rPr>
              <w:instrText xml:space="preserve"> PAGEREF _Toc509567813 \h </w:instrText>
            </w:r>
            <w:r w:rsidRPr="0049758E">
              <w:rPr>
                <w:noProof/>
                <w:webHidden/>
              </w:rPr>
            </w:r>
            <w:r w:rsidRPr="0049758E">
              <w:rPr>
                <w:noProof/>
                <w:webHidden/>
              </w:rPr>
              <w:fldChar w:fldCharType="separate"/>
            </w:r>
            <w:r w:rsidR="009923C4">
              <w:rPr>
                <w:noProof/>
                <w:webHidden/>
              </w:rPr>
              <w:t>17</w:t>
            </w:r>
            <w:r w:rsidRPr="0049758E">
              <w:rPr>
                <w:noProof/>
                <w:webHidden/>
              </w:rPr>
              <w:fldChar w:fldCharType="end"/>
            </w:r>
          </w:hyperlink>
        </w:p>
        <w:p w14:paraId="3A7D1618" w14:textId="77777777" w:rsidR="00FF16BD" w:rsidRPr="0049758E" w:rsidRDefault="00B00D3D">
          <w:pPr>
            <w:rPr>
              <w:rFonts w:ascii="Arial" w:hAnsi="Arial" w:cs="Arial"/>
              <w:b/>
              <w:bCs/>
              <w:noProof/>
              <w:sz w:val="24"/>
            </w:rPr>
            <w:sectPr w:rsidR="00FF16BD" w:rsidRPr="0049758E" w:rsidSect="00FF16BD">
              <w:headerReference w:type="default" r:id="rId11"/>
              <w:footerReference w:type="even" r:id="rId12"/>
              <w:footerReference w:type="default" r:id="rId13"/>
              <w:footerReference w:type="first" r:id="rId14"/>
              <w:pgSz w:w="11906" w:h="16838"/>
              <w:pgMar w:top="1440" w:right="1440" w:bottom="1440" w:left="1440" w:header="708" w:footer="708" w:gutter="0"/>
              <w:pgNumType w:fmt="lowerRoman" w:start="1"/>
              <w:cols w:space="708"/>
              <w:titlePg/>
              <w:docGrid w:linePitch="360"/>
            </w:sectPr>
          </w:pPr>
          <w:r w:rsidRPr="0049758E">
            <w:rPr>
              <w:rFonts w:ascii="Arial" w:hAnsi="Arial" w:cs="Arial"/>
              <w:b/>
              <w:bCs/>
              <w:noProof/>
              <w:sz w:val="24"/>
            </w:rPr>
            <w:fldChar w:fldCharType="end"/>
          </w:r>
        </w:p>
        <w:p w14:paraId="4AD0E558" w14:textId="71D604A5" w:rsidR="00B00D3D" w:rsidRPr="00FF16BD" w:rsidRDefault="00F867F5"/>
      </w:sdtContent>
    </w:sdt>
    <w:p w14:paraId="4A4AFEB5" w14:textId="0AA585BE" w:rsidR="007C7FF3" w:rsidRPr="00FF16BD" w:rsidRDefault="007C7FF3">
      <w:pPr>
        <w:rPr>
          <w:rFonts w:ascii="Arial" w:eastAsia="Calibri" w:hAnsi="Arial" w:cs="Arial"/>
          <w:b/>
          <w:sz w:val="24"/>
          <w:szCs w:val="24"/>
          <w:lang w:val="fr-FR"/>
        </w:rPr>
      </w:pPr>
    </w:p>
    <w:p w14:paraId="35F16017" w14:textId="77777777" w:rsidR="00B00D3D" w:rsidRPr="00FF16BD" w:rsidRDefault="00B00D3D">
      <w:pPr>
        <w:rPr>
          <w:rFonts w:ascii="Arial" w:eastAsia="Calibri" w:hAnsi="Arial" w:cs="Arial"/>
          <w:b/>
          <w:sz w:val="24"/>
          <w:lang w:val="fr-FR"/>
        </w:rPr>
      </w:pPr>
      <w:r w:rsidRPr="00FF16BD">
        <w:rPr>
          <w:rFonts w:ascii="Arial" w:eastAsia="Calibri" w:hAnsi="Arial" w:cs="Arial"/>
          <w:b/>
          <w:sz w:val="24"/>
          <w:lang w:val="fr-FR"/>
        </w:rPr>
        <w:br w:type="page"/>
      </w:r>
    </w:p>
    <w:p w14:paraId="09857396" w14:textId="068EF8F4" w:rsidR="00F61E42" w:rsidRPr="00FF16BD" w:rsidRDefault="00F61E42" w:rsidP="00CF1C12">
      <w:pPr>
        <w:spacing w:line="360" w:lineRule="auto"/>
        <w:jc w:val="both"/>
        <w:rPr>
          <w:rFonts w:ascii="Arial" w:hAnsi="Arial" w:cs="Arial"/>
          <w:sz w:val="24"/>
          <w:lang w:val="fr-FR" w:eastAsia="fr-FR"/>
        </w:rPr>
      </w:pPr>
      <w:r w:rsidRPr="00FF16BD">
        <w:rPr>
          <w:rFonts w:ascii="Arial" w:eastAsia="Calibri" w:hAnsi="Arial" w:cs="Arial"/>
          <w:b/>
          <w:sz w:val="24"/>
          <w:lang w:val="fr-FR"/>
        </w:rPr>
        <w:lastRenderedPageBreak/>
        <w:t>La Cour composée de</w:t>
      </w:r>
      <w:r w:rsidRPr="00FF16BD">
        <w:rPr>
          <w:rFonts w:ascii="Arial" w:eastAsia="Calibri" w:hAnsi="Arial" w:cs="Arial"/>
          <w:sz w:val="24"/>
          <w:lang w:val="fr-FR"/>
        </w:rPr>
        <w:t xml:space="preserve"> : </w:t>
      </w:r>
      <w:r w:rsidRPr="00FF16BD">
        <w:rPr>
          <w:rFonts w:ascii="Arial" w:hAnsi="Arial" w:cs="Arial"/>
          <w:sz w:val="24"/>
          <w:lang w:val="fr-FR" w:eastAsia="fr-FR"/>
        </w:rPr>
        <w:t xml:space="preserve">Ben KIOKO, Vice-Président, Gérard NIYUNGEKO, El Hadji GUISSÉ, </w:t>
      </w:r>
      <w:proofErr w:type="spellStart"/>
      <w:r w:rsidRPr="00FF16BD">
        <w:rPr>
          <w:rFonts w:ascii="Arial" w:hAnsi="Arial" w:cs="Arial"/>
          <w:sz w:val="24"/>
          <w:lang w:val="fr-FR" w:eastAsia="fr-FR"/>
        </w:rPr>
        <w:t>Rafâa</w:t>
      </w:r>
      <w:proofErr w:type="spellEnd"/>
      <w:r w:rsidRPr="00FF16BD">
        <w:rPr>
          <w:rFonts w:ascii="Arial" w:hAnsi="Arial" w:cs="Arial"/>
          <w:sz w:val="24"/>
          <w:lang w:val="fr-FR" w:eastAsia="fr-FR"/>
        </w:rPr>
        <w:t xml:space="preserve"> BEN ACHOUR, Angelo V. MATUSSE, </w:t>
      </w:r>
      <w:proofErr w:type="spellStart"/>
      <w:r w:rsidRPr="00FF16BD">
        <w:rPr>
          <w:rFonts w:ascii="Arial" w:hAnsi="Arial" w:cs="Arial"/>
          <w:sz w:val="24"/>
          <w:lang w:val="fr-FR" w:eastAsia="fr-FR"/>
        </w:rPr>
        <w:t>Ntyam</w:t>
      </w:r>
      <w:proofErr w:type="spellEnd"/>
      <w:r w:rsidRPr="00FF16BD">
        <w:rPr>
          <w:rFonts w:ascii="Arial" w:hAnsi="Arial" w:cs="Arial"/>
          <w:sz w:val="24"/>
          <w:lang w:val="fr-FR" w:eastAsia="fr-FR"/>
        </w:rPr>
        <w:t xml:space="preserve"> O. MENGUE, Marie-Thérèse MUKAMULISA, </w:t>
      </w:r>
      <w:proofErr w:type="spellStart"/>
      <w:r w:rsidRPr="00FF16BD">
        <w:rPr>
          <w:rFonts w:ascii="Arial" w:hAnsi="Arial" w:cs="Arial"/>
          <w:sz w:val="24"/>
          <w:lang w:val="fr-FR" w:eastAsia="fr-FR"/>
        </w:rPr>
        <w:t>Tujilane</w:t>
      </w:r>
      <w:proofErr w:type="spellEnd"/>
      <w:r w:rsidRPr="00FF16BD">
        <w:rPr>
          <w:rFonts w:ascii="Arial" w:hAnsi="Arial" w:cs="Arial"/>
          <w:sz w:val="24"/>
          <w:lang w:val="fr-FR" w:eastAsia="fr-FR"/>
        </w:rPr>
        <w:t xml:space="preserve"> R. CHIZUMILA, Chafika BENSAOULA, Juges et Robert ENO, Greffier.</w:t>
      </w:r>
    </w:p>
    <w:p w14:paraId="5FAFF51E" w14:textId="77777777" w:rsidR="00F61E42" w:rsidRPr="00FF16BD" w:rsidRDefault="005E0123" w:rsidP="00CF1C12">
      <w:pPr>
        <w:spacing w:line="360" w:lineRule="auto"/>
        <w:jc w:val="both"/>
        <w:rPr>
          <w:rFonts w:ascii="Arial" w:hAnsi="Arial" w:cs="Arial"/>
          <w:sz w:val="24"/>
          <w:lang w:val="fr-FR" w:eastAsia="fr-FR"/>
        </w:rPr>
      </w:pPr>
      <w:r w:rsidRPr="00FF16BD">
        <w:rPr>
          <w:rFonts w:ascii="Arial" w:hAnsi="Arial" w:cs="Arial"/>
          <w:sz w:val="24"/>
          <w:lang w:val="fr-FR" w:eastAsia="fr-FR"/>
        </w:rPr>
        <w:t xml:space="preserve">Conformément à l’article 22 du Protocole relatif à la Charte africaine des droits de l’homme et des peuples portant création d’une Cour africaine des droits de l’homme et des peuples (ci-après « le Protocole ») et l’article 8(2) du Règlement intérieur de la Cour (ci-après « le Règlement »), le Juge Sylvain ORÉ, Président de la Cour, de nationalité ivoirienne, n’a pas siégé dans l’affaire. </w:t>
      </w:r>
    </w:p>
    <w:p w14:paraId="7C5B5F81" w14:textId="77777777" w:rsidR="003B039A" w:rsidRPr="00FF16BD" w:rsidRDefault="003B039A" w:rsidP="00B00D3D">
      <w:pPr>
        <w:spacing w:line="360" w:lineRule="auto"/>
        <w:rPr>
          <w:rFonts w:ascii="Arial" w:hAnsi="Arial" w:cs="Arial"/>
          <w:sz w:val="24"/>
          <w:lang w:val="fr-FR" w:eastAsia="fr-FR"/>
        </w:rPr>
      </w:pPr>
    </w:p>
    <w:p w14:paraId="586BCF5F" w14:textId="77777777" w:rsidR="00F61E42" w:rsidRPr="00FF16BD" w:rsidRDefault="00F61E42" w:rsidP="00CF1C12">
      <w:pPr>
        <w:spacing w:line="360" w:lineRule="auto"/>
        <w:jc w:val="both"/>
        <w:rPr>
          <w:rFonts w:ascii="Arial" w:hAnsi="Arial" w:cs="Arial"/>
          <w:sz w:val="24"/>
          <w:lang w:val="fr-FR" w:eastAsia="fr-FR"/>
        </w:rPr>
      </w:pPr>
      <w:r w:rsidRPr="00FF16BD">
        <w:rPr>
          <w:rFonts w:ascii="Arial" w:hAnsi="Arial" w:cs="Arial"/>
          <w:sz w:val="24"/>
          <w:lang w:val="fr-FR" w:eastAsia="fr-FR"/>
        </w:rPr>
        <w:t>En l’affaire :</w:t>
      </w:r>
    </w:p>
    <w:p w14:paraId="3AFF64ED" w14:textId="77777777" w:rsidR="00F61E42" w:rsidRPr="00FF16BD" w:rsidRDefault="00F61E42" w:rsidP="00CF1C12">
      <w:pPr>
        <w:spacing w:line="360" w:lineRule="auto"/>
        <w:jc w:val="both"/>
        <w:rPr>
          <w:rFonts w:ascii="Arial" w:hAnsi="Arial" w:cs="Arial"/>
          <w:sz w:val="24"/>
          <w:lang w:val="fr-FR"/>
        </w:rPr>
      </w:pPr>
      <w:r w:rsidRPr="00FF16BD">
        <w:rPr>
          <w:rFonts w:ascii="Arial" w:hAnsi="Arial" w:cs="Arial"/>
          <w:sz w:val="24"/>
          <w:lang w:val="fr-FR"/>
        </w:rPr>
        <w:t>Jean-Claude Roger GOMBERT,</w:t>
      </w:r>
    </w:p>
    <w:p w14:paraId="72CFA3C6" w14:textId="77777777" w:rsidR="00F61E42" w:rsidRPr="00FF16BD" w:rsidRDefault="008F3EE3" w:rsidP="00CF1C12">
      <w:pPr>
        <w:spacing w:line="360" w:lineRule="auto"/>
        <w:jc w:val="both"/>
        <w:rPr>
          <w:rFonts w:ascii="Arial" w:hAnsi="Arial" w:cs="Arial"/>
          <w:i/>
          <w:sz w:val="24"/>
          <w:lang w:val="fr-FR"/>
        </w:rPr>
      </w:pPr>
      <w:r w:rsidRPr="00FF16BD">
        <w:rPr>
          <w:rFonts w:ascii="Arial" w:hAnsi="Arial" w:cs="Arial"/>
          <w:i/>
          <w:sz w:val="24"/>
          <w:lang w:val="fr-FR"/>
        </w:rPr>
        <w:t>Représenté</w:t>
      </w:r>
      <w:r w:rsidR="00F61E42" w:rsidRPr="00FF16BD">
        <w:rPr>
          <w:rFonts w:ascii="Arial" w:hAnsi="Arial" w:cs="Arial"/>
          <w:i/>
          <w:sz w:val="24"/>
          <w:lang w:val="fr-FR"/>
        </w:rPr>
        <w:t xml:space="preserve"> par :</w:t>
      </w:r>
    </w:p>
    <w:p w14:paraId="22CACE4E" w14:textId="77777777" w:rsidR="00F61E42" w:rsidRPr="00FF16BD" w:rsidRDefault="00F61E42" w:rsidP="00CF1C12">
      <w:pPr>
        <w:spacing w:line="360" w:lineRule="auto"/>
        <w:jc w:val="both"/>
        <w:rPr>
          <w:rFonts w:ascii="Arial" w:hAnsi="Arial" w:cs="Arial"/>
          <w:sz w:val="24"/>
          <w:lang w:val="fr-FR"/>
        </w:rPr>
      </w:pPr>
      <w:r w:rsidRPr="00FF16BD">
        <w:rPr>
          <w:rFonts w:ascii="Arial" w:hAnsi="Arial" w:cs="Arial"/>
          <w:sz w:val="24"/>
          <w:lang w:val="fr-FR"/>
        </w:rPr>
        <w:t>Maître Emile SONTÉ, Avocat à la Cour d’appel d’Abidjan</w:t>
      </w:r>
    </w:p>
    <w:p w14:paraId="5959450D" w14:textId="77777777" w:rsidR="00F61E42" w:rsidRPr="00FF16BD" w:rsidRDefault="00F61E42" w:rsidP="00CF1C12">
      <w:pPr>
        <w:spacing w:line="360" w:lineRule="auto"/>
        <w:jc w:val="both"/>
        <w:rPr>
          <w:rFonts w:ascii="Arial" w:hAnsi="Arial" w:cs="Arial"/>
          <w:sz w:val="24"/>
          <w:lang w:val="fr-FR"/>
        </w:rPr>
      </w:pPr>
      <w:proofErr w:type="gramStart"/>
      <w:r w:rsidRPr="00FF16BD">
        <w:rPr>
          <w:rFonts w:ascii="Arial" w:hAnsi="Arial" w:cs="Arial"/>
          <w:sz w:val="24"/>
          <w:lang w:val="fr-FR"/>
        </w:rPr>
        <w:t>c</w:t>
      </w:r>
      <w:proofErr w:type="gramEnd"/>
      <w:r w:rsidRPr="00FF16BD">
        <w:rPr>
          <w:rFonts w:ascii="Arial" w:hAnsi="Arial" w:cs="Arial"/>
          <w:sz w:val="24"/>
          <w:lang w:val="fr-FR"/>
        </w:rPr>
        <w:t>.</w:t>
      </w:r>
    </w:p>
    <w:p w14:paraId="50BADED6" w14:textId="2BDDDB98" w:rsidR="00F61E42" w:rsidRPr="00FF16BD" w:rsidRDefault="00A41723" w:rsidP="00CF1C12">
      <w:pPr>
        <w:spacing w:line="360" w:lineRule="auto"/>
        <w:jc w:val="both"/>
        <w:rPr>
          <w:rFonts w:ascii="Arial" w:hAnsi="Arial" w:cs="Arial"/>
          <w:sz w:val="24"/>
          <w:lang w:val="fr-FR"/>
        </w:rPr>
      </w:pPr>
      <w:r w:rsidRPr="00FF16BD">
        <w:rPr>
          <w:rFonts w:ascii="Arial" w:hAnsi="Arial" w:cs="Arial"/>
          <w:sz w:val="24"/>
          <w:lang w:val="fr-FR"/>
        </w:rPr>
        <w:t xml:space="preserve">RÉPUBLIQUE DE </w:t>
      </w:r>
      <w:r w:rsidR="00D05375" w:rsidRPr="00FF16BD">
        <w:rPr>
          <w:rFonts w:ascii="Arial" w:hAnsi="Arial" w:cs="Arial"/>
          <w:sz w:val="24"/>
          <w:lang w:val="fr-FR"/>
        </w:rPr>
        <w:t>CÔTE D’IVOIRE</w:t>
      </w:r>
      <w:r w:rsidR="008F3EE3" w:rsidRPr="00FF16BD">
        <w:rPr>
          <w:rFonts w:ascii="Arial" w:hAnsi="Arial" w:cs="Arial"/>
          <w:sz w:val="24"/>
          <w:lang w:val="fr-FR"/>
        </w:rPr>
        <w:t>,</w:t>
      </w:r>
    </w:p>
    <w:p w14:paraId="2C038CCA" w14:textId="77777777" w:rsidR="008F3EE3" w:rsidRPr="00FF16BD" w:rsidRDefault="008F3EE3" w:rsidP="00CF1C12">
      <w:pPr>
        <w:spacing w:line="360" w:lineRule="auto"/>
        <w:jc w:val="both"/>
        <w:rPr>
          <w:rFonts w:ascii="Arial" w:hAnsi="Arial" w:cs="Arial"/>
          <w:i/>
          <w:sz w:val="24"/>
          <w:lang w:val="fr-FR"/>
        </w:rPr>
      </w:pPr>
      <w:r w:rsidRPr="00FF16BD">
        <w:rPr>
          <w:rFonts w:ascii="Arial" w:hAnsi="Arial" w:cs="Arial"/>
          <w:i/>
          <w:sz w:val="24"/>
          <w:lang w:val="fr-FR"/>
        </w:rPr>
        <w:t>Représentée par :</w:t>
      </w:r>
    </w:p>
    <w:p w14:paraId="1F3CDB14" w14:textId="6B4F8A12" w:rsidR="00010BD6" w:rsidRPr="00FF16BD" w:rsidRDefault="001A42F6" w:rsidP="00CF1C12">
      <w:pPr>
        <w:spacing w:line="360" w:lineRule="auto"/>
        <w:jc w:val="both"/>
        <w:rPr>
          <w:rFonts w:ascii="Arial" w:hAnsi="Arial" w:cs="Arial"/>
          <w:sz w:val="24"/>
          <w:lang w:val="fr-FR"/>
        </w:rPr>
      </w:pPr>
      <w:r w:rsidRPr="00FF16BD">
        <w:rPr>
          <w:rFonts w:ascii="Arial" w:hAnsi="Arial" w:cs="Arial"/>
          <w:sz w:val="24"/>
          <w:lang w:val="fr-FR"/>
        </w:rPr>
        <w:t xml:space="preserve">Madame </w:t>
      </w:r>
      <w:proofErr w:type="spellStart"/>
      <w:r w:rsidRPr="00FF16BD">
        <w:rPr>
          <w:rFonts w:ascii="Arial" w:hAnsi="Arial" w:cs="Arial"/>
          <w:sz w:val="24"/>
          <w:lang w:val="fr-FR"/>
        </w:rPr>
        <w:t>Kadiatou</w:t>
      </w:r>
      <w:proofErr w:type="spellEnd"/>
      <w:r w:rsidRPr="00FF16BD">
        <w:rPr>
          <w:rFonts w:ascii="Arial" w:hAnsi="Arial" w:cs="Arial"/>
          <w:sz w:val="24"/>
          <w:lang w:val="fr-FR"/>
        </w:rPr>
        <w:t xml:space="preserve"> LY SANGARÉ, Agent Judiciaire du Trésor, agissant pour le compte du</w:t>
      </w:r>
      <w:r w:rsidRPr="00FF16BD" w:rsidDel="001A42F6">
        <w:rPr>
          <w:rFonts w:ascii="Arial" w:hAnsi="Arial" w:cs="Arial"/>
          <w:sz w:val="24"/>
          <w:lang w:val="fr-FR"/>
        </w:rPr>
        <w:t xml:space="preserve"> </w:t>
      </w:r>
      <w:r w:rsidR="00004AC4" w:rsidRPr="00FF16BD">
        <w:rPr>
          <w:rFonts w:ascii="Arial" w:hAnsi="Arial" w:cs="Arial"/>
          <w:sz w:val="24"/>
          <w:lang w:val="fr-FR"/>
        </w:rPr>
        <w:t xml:space="preserve">Ministre auprès du Premier Ministre, chargé </w:t>
      </w:r>
      <w:r w:rsidR="00010BD6" w:rsidRPr="00FF16BD">
        <w:rPr>
          <w:rFonts w:ascii="Arial" w:hAnsi="Arial" w:cs="Arial"/>
          <w:sz w:val="24"/>
          <w:lang w:val="fr-FR"/>
        </w:rPr>
        <w:t>de l’Economie et des Finances</w:t>
      </w:r>
      <w:r w:rsidRPr="00FF16BD">
        <w:rPr>
          <w:rFonts w:ascii="Arial" w:hAnsi="Arial" w:cs="Arial"/>
          <w:sz w:val="24"/>
          <w:lang w:val="fr-FR"/>
        </w:rPr>
        <w:t>.</w:t>
      </w:r>
      <w:r w:rsidR="00010BD6" w:rsidRPr="00FF16BD">
        <w:rPr>
          <w:rFonts w:ascii="Arial" w:hAnsi="Arial" w:cs="Arial"/>
          <w:sz w:val="24"/>
          <w:lang w:val="fr-FR"/>
        </w:rPr>
        <w:t xml:space="preserve"> </w:t>
      </w:r>
    </w:p>
    <w:p w14:paraId="4BBB44BA" w14:textId="77777777" w:rsidR="00F61E42" w:rsidRPr="00FF16BD" w:rsidRDefault="00F61E42" w:rsidP="00CF1C12">
      <w:pPr>
        <w:spacing w:line="360" w:lineRule="auto"/>
        <w:jc w:val="both"/>
        <w:rPr>
          <w:rFonts w:ascii="Arial" w:hAnsi="Arial" w:cs="Arial"/>
          <w:sz w:val="24"/>
          <w:lang w:val="fr-FR"/>
        </w:rPr>
      </w:pPr>
    </w:p>
    <w:p w14:paraId="6A486DEE" w14:textId="77777777" w:rsidR="00F61E42" w:rsidRPr="00FF16BD" w:rsidRDefault="00F61E42" w:rsidP="00CF1C12">
      <w:pPr>
        <w:spacing w:line="360" w:lineRule="auto"/>
        <w:jc w:val="both"/>
        <w:rPr>
          <w:rFonts w:ascii="Arial" w:eastAsia="Calibri" w:hAnsi="Arial" w:cs="Arial"/>
          <w:sz w:val="24"/>
          <w:lang w:val="fr-FR"/>
        </w:rPr>
      </w:pPr>
      <w:r w:rsidRPr="00FF16BD">
        <w:rPr>
          <w:rFonts w:ascii="Arial" w:eastAsia="Calibri" w:hAnsi="Arial" w:cs="Arial"/>
          <w:sz w:val="24"/>
          <w:lang w:val="fr-FR"/>
        </w:rPr>
        <w:t>Après en avoir délibéré,</w:t>
      </w:r>
    </w:p>
    <w:p w14:paraId="77AE45E8" w14:textId="77777777" w:rsidR="00F61E42" w:rsidRPr="00FF16BD" w:rsidRDefault="00F61E42" w:rsidP="00CF1C12">
      <w:pPr>
        <w:spacing w:line="360" w:lineRule="auto"/>
        <w:jc w:val="both"/>
        <w:rPr>
          <w:rFonts w:ascii="Arial" w:eastAsia="Calibri" w:hAnsi="Arial" w:cs="Arial"/>
          <w:i/>
          <w:sz w:val="24"/>
          <w:lang w:val="fr-FR"/>
        </w:rPr>
      </w:pPr>
      <w:proofErr w:type="gramStart"/>
      <w:r w:rsidRPr="00FF16BD">
        <w:rPr>
          <w:rFonts w:ascii="Arial" w:eastAsia="Calibri" w:hAnsi="Arial" w:cs="Arial"/>
          <w:i/>
          <w:sz w:val="24"/>
          <w:lang w:val="fr-FR"/>
        </w:rPr>
        <w:t>rend</w:t>
      </w:r>
      <w:proofErr w:type="gramEnd"/>
      <w:r w:rsidRPr="00FF16BD">
        <w:rPr>
          <w:rFonts w:ascii="Arial" w:eastAsia="Calibri" w:hAnsi="Arial" w:cs="Arial"/>
          <w:i/>
          <w:sz w:val="24"/>
          <w:lang w:val="fr-FR"/>
        </w:rPr>
        <w:t xml:space="preserve"> le présent arrêt </w:t>
      </w:r>
    </w:p>
    <w:p w14:paraId="73BCDE8C" w14:textId="77777777" w:rsidR="00F61E42" w:rsidRPr="00FF16BD" w:rsidRDefault="00F61E42" w:rsidP="00917627">
      <w:pPr>
        <w:spacing w:line="360" w:lineRule="auto"/>
        <w:jc w:val="center"/>
        <w:rPr>
          <w:rFonts w:ascii="Arial" w:hAnsi="Arial" w:cs="Arial"/>
          <w:b/>
          <w:sz w:val="24"/>
          <w:szCs w:val="24"/>
          <w:lang w:val="fr-FR"/>
        </w:rPr>
      </w:pPr>
    </w:p>
    <w:p w14:paraId="2FB29812" w14:textId="77777777" w:rsidR="00450716" w:rsidRPr="00FF16BD" w:rsidRDefault="00450716" w:rsidP="00917627">
      <w:pPr>
        <w:spacing w:line="360" w:lineRule="auto"/>
        <w:jc w:val="center"/>
        <w:rPr>
          <w:rFonts w:ascii="Arial" w:hAnsi="Arial" w:cs="Arial"/>
          <w:b/>
          <w:sz w:val="24"/>
          <w:szCs w:val="24"/>
          <w:lang w:val="fr-FR"/>
        </w:rPr>
      </w:pPr>
    </w:p>
    <w:p w14:paraId="7180C413" w14:textId="77777777" w:rsidR="00450716" w:rsidRPr="00FF16BD" w:rsidRDefault="00450716" w:rsidP="00917627">
      <w:pPr>
        <w:spacing w:line="360" w:lineRule="auto"/>
        <w:jc w:val="center"/>
        <w:rPr>
          <w:rFonts w:ascii="Arial" w:hAnsi="Arial" w:cs="Arial"/>
          <w:b/>
          <w:sz w:val="24"/>
          <w:szCs w:val="24"/>
          <w:lang w:val="fr-FR"/>
        </w:rPr>
      </w:pPr>
    </w:p>
    <w:p w14:paraId="73EF0F6D" w14:textId="77777777" w:rsidR="001A42F6" w:rsidRPr="00FF16BD" w:rsidRDefault="001A42F6" w:rsidP="00917627">
      <w:pPr>
        <w:spacing w:line="360" w:lineRule="auto"/>
        <w:jc w:val="center"/>
        <w:rPr>
          <w:rFonts w:ascii="Arial" w:hAnsi="Arial" w:cs="Arial"/>
          <w:b/>
          <w:sz w:val="24"/>
          <w:szCs w:val="24"/>
          <w:lang w:val="fr-FR"/>
        </w:rPr>
      </w:pPr>
    </w:p>
    <w:p w14:paraId="352FB29F" w14:textId="41B79D10" w:rsidR="00D224FD" w:rsidRPr="00FF16BD" w:rsidRDefault="00D224FD" w:rsidP="00C11038">
      <w:pPr>
        <w:pStyle w:val="Heading1"/>
        <w:numPr>
          <w:ilvl w:val="0"/>
          <w:numId w:val="35"/>
        </w:numPr>
        <w:ind w:left="567" w:hanging="567"/>
        <w:jc w:val="left"/>
        <w:rPr>
          <w:sz w:val="24"/>
        </w:rPr>
      </w:pPr>
      <w:bookmarkStart w:id="1" w:name="_Toc509567801"/>
      <w:r w:rsidRPr="00FF16BD">
        <w:rPr>
          <w:sz w:val="24"/>
        </w:rPr>
        <w:lastRenderedPageBreak/>
        <w:t>LES PARTIES</w:t>
      </w:r>
      <w:bookmarkEnd w:id="1"/>
      <w:r w:rsidRPr="00FF16BD">
        <w:rPr>
          <w:sz w:val="24"/>
        </w:rPr>
        <w:t xml:space="preserve"> </w:t>
      </w:r>
    </w:p>
    <w:p w14:paraId="01E45881" w14:textId="77777777" w:rsidR="00D224FD" w:rsidRPr="00FF16BD" w:rsidRDefault="00D224FD" w:rsidP="00917627">
      <w:pPr>
        <w:pStyle w:val="ListParagraph"/>
        <w:spacing w:line="360" w:lineRule="auto"/>
        <w:jc w:val="both"/>
        <w:rPr>
          <w:rFonts w:ascii="Arial" w:hAnsi="Arial" w:cs="Arial"/>
          <w:sz w:val="24"/>
          <w:szCs w:val="24"/>
          <w:lang w:val="fr-FR"/>
        </w:rPr>
      </w:pPr>
    </w:p>
    <w:p w14:paraId="3023FF11" w14:textId="42DE1614" w:rsidR="00010BD6" w:rsidRPr="00FF16BD" w:rsidRDefault="00D224FD"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Le Requérant, </w:t>
      </w:r>
      <w:r w:rsidR="00BD0297" w:rsidRPr="00FF16BD">
        <w:rPr>
          <w:rFonts w:ascii="Arial" w:hAnsi="Arial" w:cs="Arial"/>
          <w:sz w:val="24"/>
          <w:szCs w:val="24"/>
          <w:lang w:val="fr-FR"/>
        </w:rPr>
        <w:t>s</w:t>
      </w:r>
      <w:r w:rsidR="001A42F6" w:rsidRPr="00FF16BD">
        <w:rPr>
          <w:rFonts w:ascii="Arial" w:hAnsi="Arial" w:cs="Arial"/>
          <w:sz w:val="24"/>
          <w:szCs w:val="24"/>
          <w:lang w:val="fr-FR"/>
        </w:rPr>
        <w:t xml:space="preserve">ieur </w:t>
      </w:r>
      <w:r w:rsidRPr="00FF16BD">
        <w:rPr>
          <w:rFonts w:ascii="Arial" w:hAnsi="Arial" w:cs="Arial"/>
          <w:sz w:val="24"/>
          <w:szCs w:val="24"/>
          <w:lang w:val="fr-FR"/>
        </w:rPr>
        <w:t>Jean-Claude Roger GOMBERT, est Directeur de société</w:t>
      </w:r>
      <w:r w:rsidR="007677DE" w:rsidRPr="00FF16BD">
        <w:rPr>
          <w:rFonts w:ascii="Arial" w:hAnsi="Arial" w:cs="Arial"/>
          <w:sz w:val="24"/>
          <w:szCs w:val="24"/>
          <w:lang w:val="fr-FR"/>
        </w:rPr>
        <w:t>s</w:t>
      </w:r>
      <w:r w:rsidRPr="00FF16BD">
        <w:rPr>
          <w:rFonts w:ascii="Arial" w:hAnsi="Arial" w:cs="Arial"/>
          <w:sz w:val="24"/>
          <w:szCs w:val="24"/>
          <w:lang w:val="fr-FR"/>
        </w:rPr>
        <w:t xml:space="preserve">, de nationalité française, domicilié à Abidjan. </w:t>
      </w:r>
    </w:p>
    <w:p w14:paraId="6FFCFD7A" w14:textId="77777777" w:rsidR="00894011" w:rsidRPr="00FF16BD" w:rsidRDefault="00894011" w:rsidP="00917627">
      <w:pPr>
        <w:pStyle w:val="ListParagraph"/>
        <w:spacing w:line="360" w:lineRule="auto"/>
        <w:jc w:val="both"/>
        <w:rPr>
          <w:rFonts w:ascii="Arial" w:hAnsi="Arial" w:cs="Arial"/>
          <w:sz w:val="24"/>
          <w:szCs w:val="24"/>
          <w:lang w:val="fr-FR"/>
        </w:rPr>
      </w:pPr>
    </w:p>
    <w:p w14:paraId="57951B0B" w14:textId="2AD506C2" w:rsidR="00D224FD" w:rsidRPr="00FF16BD" w:rsidRDefault="0002023B"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La R</w:t>
      </w:r>
      <w:r w:rsidR="00894011" w:rsidRPr="00FF16BD">
        <w:rPr>
          <w:rFonts w:ascii="Arial" w:hAnsi="Arial" w:cs="Arial"/>
          <w:sz w:val="24"/>
          <w:szCs w:val="24"/>
          <w:lang w:val="fr-FR"/>
        </w:rPr>
        <w:t>equête est dirigée contre l</w:t>
      </w:r>
      <w:r w:rsidR="00010BD6" w:rsidRPr="00FF16BD">
        <w:rPr>
          <w:rFonts w:ascii="Arial" w:hAnsi="Arial" w:cs="Arial"/>
          <w:sz w:val="24"/>
          <w:szCs w:val="24"/>
          <w:lang w:val="fr-FR"/>
        </w:rPr>
        <w:t>’Etat</w:t>
      </w:r>
      <w:r w:rsidR="00894011" w:rsidRPr="00FF16BD">
        <w:rPr>
          <w:rFonts w:ascii="Arial" w:hAnsi="Arial" w:cs="Arial"/>
          <w:sz w:val="24"/>
          <w:szCs w:val="24"/>
          <w:lang w:val="fr-FR"/>
        </w:rPr>
        <w:t xml:space="preserve"> de Côte d’Ivoire</w:t>
      </w:r>
      <w:r w:rsidRPr="00FF16BD">
        <w:rPr>
          <w:rFonts w:ascii="Arial" w:hAnsi="Arial" w:cs="Arial"/>
          <w:sz w:val="24"/>
          <w:szCs w:val="24"/>
          <w:lang w:val="fr-FR"/>
        </w:rPr>
        <w:t xml:space="preserve"> </w:t>
      </w:r>
      <w:r w:rsidR="00327E65" w:rsidRPr="00FF16BD">
        <w:rPr>
          <w:rFonts w:ascii="Arial" w:hAnsi="Arial" w:cs="Arial"/>
          <w:sz w:val="24"/>
          <w:szCs w:val="24"/>
          <w:lang w:val="fr-FR"/>
        </w:rPr>
        <w:t>(ci-après « l</w:t>
      </w:r>
      <w:r w:rsidR="00D05375" w:rsidRPr="00FF16BD">
        <w:rPr>
          <w:rFonts w:ascii="Arial" w:hAnsi="Arial" w:cs="Arial"/>
          <w:sz w:val="24"/>
          <w:szCs w:val="24"/>
          <w:lang w:val="fr-FR"/>
        </w:rPr>
        <w:t>’</w:t>
      </w:r>
      <w:r w:rsidR="00917627" w:rsidRPr="00FF16BD">
        <w:rPr>
          <w:rFonts w:ascii="Arial" w:hAnsi="Arial" w:cs="Arial"/>
          <w:sz w:val="24"/>
          <w:szCs w:val="24"/>
          <w:lang w:val="fr-FR"/>
        </w:rPr>
        <w:t>État</w:t>
      </w:r>
      <w:r w:rsidR="00D05375" w:rsidRPr="00FF16BD">
        <w:rPr>
          <w:rFonts w:ascii="Arial" w:hAnsi="Arial" w:cs="Arial"/>
          <w:sz w:val="24"/>
          <w:szCs w:val="24"/>
          <w:lang w:val="fr-FR"/>
        </w:rPr>
        <w:t xml:space="preserve"> défendeur</w:t>
      </w:r>
      <w:r w:rsidR="00327E65" w:rsidRPr="00FF16BD">
        <w:rPr>
          <w:rFonts w:ascii="Arial" w:hAnsi="Arial" w:cs="Arial"/>
          <w:sz w:val="24"/>
          <w:szCs w:val="24"/>
          <w:lang w:val="fr-FR"/>
        </w:rPr>
        <w:t xml:space="preserve"> ») </w:t>
      </w:r>
      <w:r w:rsidRPr="00FF16BD">
        <w:rPr>
          <w:rFonts w:ascii="Arial" w:hAnsi="Arial" w:cs="Arial"/>
          <w:sz w:val="24"/>
          <w:szCs w:val="24"/>
          <w:lang w:val="fr-FR"/>
        </w:rPr>
        <w:t xml:space="preserve">qui </w:t>
      </w:r>
      <w:r w:rsidR="00F12F51" w:rsidRPr="00FF16BD">
        <w:rPr>
          <w:rFonts w:ascii="Arial" w:hAnsi="Arial" w:cs="Arial"/>
          <w:sz w:val="24"/>
          <w:szCs w:val="24"/>
          <w:lang w:val="fr-FR"/>
        </w:rPr>
        <w:t xml:space="preserve">est devenu partie à </w:t>
      </w:r>
      <w:r w:rsidRPr="00FF16BD">
        <w:rPr>
          <w:rFonts w:ascii="Arial" w:hAnsi="Arial" w:cs="Arial"/>
          <w:sz w:val="24"/>
          <w:szCs w:val="24"/>
          <w:lang w:val="fr-FR"/>
        </w:rPr>
        <w:t xml:space="preserve">la Charte africaine </w:t>
      </w:r>
      <w:r w:rsidR="00B62D2A" w:rsidRPr="00FF16BD">
        <w:rPr>
          <w:rFonts w:ascii="Arial" w:hAnsi="Arial" w:cs="Arial"/>
          <w:sz w:val="24"/>
          <w:szCs w:val="24"/>
          <w:lang w:val="fr-FR"/>
        </w:rPr>
        <w:t>des droits de l’</w:t>
      </w:r>
      <w:r w:rsidR="00637D57" w:rsidRPr="00FF16BD">
        <w:rPr>
          <w:rFonts w:ascii="Arial" w:hAnsi="Arial" w:cs="Arial"/>
          <w:sz w:val="24"/>
          <w:szCs w:val="24"/>
          <w:lang w:val="fr-FR"/>
        </w:rPr>
        <w:t>homme et des peuples (ci-après « la Charte</w:t>
      </w:r>
      <w:r w:rsidR="000E1283" w:rsidRPr="00FF16BD">
        <w:rPr>
          <w:rFonts w:ascii="Arial" w:hAnsi="Arial" w:cs="Arial"/>
          <w:sz w:val="24"/>
          <w:szCs w:val="24"/>
          <w:lang w:val="fr-FR"/>
        </w:rPr>
        <w:t> »</w:t>
      </w:r>
      <w:r w:rsidR="00637D57" w:rsidRPr="00FF16BD">
        <w:rPr>
          <w:rFonts w:ascii="Arial" w:hAnsi="Arial" w:cs="Arial"/>
          <w:sz w:val="24"/>
          <w:szCs w:val="24"/>
          <w:lang w:val="fr-FR"/>
        </w:rPr>
        <w:t xml:space="preserve">) </w:t>
      </w:r>
      <w:r w:rsidRPr="00FF16BD">
        <w:rPr>
          <w:rFonts w:ascii="Arial" w:hAnsi="Arial" w:cs="Arial"/>
          <w:sz w:val="24"/>
          <w:szCs w:val="24"/>
          <w:lang w:val="fr-FR"/>
        </w:rPr>
        <w:t xml:space="preserve">le </w:t>
      </w:r>
      <w:r w:rsidR="004B07FE" w:rsidRPr="00FF16BD">
        <w:rPr>
          <w:rFonts w:ascii="Arial" w:hAnsi="Arial" w:cs="Arial"/>
          <w:sz w:val="24"/>
          <w:szCs w:val="24"/>
          <w:lang w:val="fr-FR"/>
        </w:rPr>
        <w:t>31 mars</w:t>
      </w:r>
      <w:r w:rsidRPr="00FF16BD">
        <w:rPr>
          <w:rFonts w:ascii="Arial" w:hAnsi="Arial" w:cs="Arial"/>
          <w:sz w:val="24"/>
          <w:szCs w:val="24"/>
          <w:lang w:val="fr-FR"/>
        </w:rPr>
        <w:t xml:space="preserve"> 1992 et </w:t>
      </w:r>
      <w:r w:rsidR="00F12F51" w:rsidRPr="00FF16BD">
        <w:rPr>
          <w:rFonts w:ascii="Arial" w:hAnsi="Arial" w:cs="Arial"/>
          <w:sz w:val="24"/>
          <w:szCs w:val="24"/>
          <w:lang w:val="fr-FR"/>
        </w:rPr>
        <w:t>au</w:t>
      </w:r>
      <w:r w:rsidRPr="00FF16BD">
        <w:rPr>
          <w:rFonts w:ascii="Arial" w:hAnsi="Arial" w:cs="Arial"/>
          <w:sz w:val="24"/>
          <w:szCs w:val="24"/>
          <w:lang w:val="fr-FR"/>
        </w:rPr>
        <w:t xml:space="preserve"> Protocole le </w:t>
      </w:r>
      <w:r w:rsidR="00D05375" w:rsidRPr="00FF16BD">
        <w:rPr>
          <w:rFonts w:ascii="Arial" w:hAnsi="Arial" w:cs="Arial"/>
          <w:sz w:val="24"/>
          <w:szCs w:val="24"/>
          <w:lang w:val="fr-FR"/>
        </w:rPr>
        <w:t>25</w:t>
      </w:r>
      <w:r w:rsidRPr="00FF16BD">
        <w:rPr>
          <w:rFonts w:ascii="Arial" w:hAnsi="Arial" w:cs="Arial"/>
          <w:sz w:val="24"/>
          <w:szCs w:val="24"/>
          <w:lang w:val="fr-FR"/>
        </w:rPr>
        <w:t xml:space="preserve"> janvier 200</w:t>
      </w:r>
      <w:r w:rsidR="00D05375" w:rsidRPr="00FF16BD">
        <w:rPr>
          <w:rFonts w:ascii="Arial" w:hAnsi="Arial" w:cs="Arial"/>
          <w:sz w:val="24"/>
          <w:szCs w:val="24"/>
          <w:lang w:val="fr-FR"/>
        </w:rPr>
        <w:t>4</w:t>
      </w:r>
      <w:r w:rsidRPr="00FF16BD">
        <w:rPr>
          <w:rFonts w:ascii="Arial" w:hAnsi="Arial" w:cs="Arial"/>
          <w:sz w:val="24"/>
          <w:szCs w:val="24"/>
          <w:lang w:val="fr-FR"/>
        </w:rPr>
        <w:t xml:space="preserve">. L’Etat défendeur a également fait, le 23 juillet 2013, la déclaration </w:t>
      </w:r>
      <w:r w:rsidR="00A41723" w:rsidRPr="00FF16BD">
        <w:rPr>
          <w:rFonts w:ascii="Arial" w:hAnsi="Arial" w:cs="Arial"/>
          <w:sz w:val="24"/>
          <w:szCs w:val="24"/>
          <w:lang w:val="fr-FR"/>
        </w:rPr>
        <w:t xml:space="preserve">prévue à l’article 34(6) </w:t>
      </w:r>
      <w:r w:rsidRPr="00FF16BD">
        <w:rPr>
          <w:rFonts w:ascii="Arial" w:hAnsi="Arial" w:cs="Arial"/>
          <w:sz w:val="24"/>
          <w:szCs w:val="24"/>
          <w:lang w:val="fr-FR"/>
        </w:rPr>
        <w:t xml:space="preserve">autorisant les individus et les Organisations non-gouvernementales à saisir </w:t>
      </w:r>
      <w:r w:rsidR="00637D57" w:rsidRPr="00FF16BD">
        <w:rPr>
          <w:rFonts w:ascii="Arial" w:hAnsi="Arial" w:cs="Arial"/>
          <w:sz w:val="24"/>
          <w:szCs w:val="24"/>
          <w:lang w:val="fr-FR"/>
        </w:rPr>
        <w:t xml:space="preserve">directement </w:t>
      </w:r>
      <w:r w:rsidRPr="00FF16BD">
        <w:rPr>
          <w:rFonts w:ascii="Arial" w:hAnsi="Arial" w:cs="Arial"/>
          <w:sz w:val="24"/>
          <w:szCs w:val="24"/>
          <w:lang w:val="fr-FR"/>
        </w:rPr>
        <w:t>la Cour.</w:t>
      </w:r>
      <w:r w:rsidR="00EF1783" w:rsidRPr="00FF16BD">
        <w:rPr>
          <w:rFonts w:ascii="Arial" w:hAnsi="Arial" w:cs="Arial"/>
          <w:sz w:val="24"/>
          <w:szCs w:val="24"/>
          <w:lang w:val="fr-FR"/>
        </w:rPr>
        <w:t xml:space="preserve"> </w:t>
      </w:r>
      <w:r w:rsidR="00E66468" w:rsidRPr="00FF16BD">
        <w:rPr>
          <w:rFonts w:ascii="Arial" w:hAnsi="Arial" w:cs="Arial"/>
          <w:sz w:val="24"/>
          <w:szCs w:val="24"/>
          <w:lang w:val="fr-FR"/>
        </w:rPr>
        <w:t>Il</w:t>
      </w:r>
      <w:r w:rsidR="00F12F51" w:rsidRPr="00FF16BD">
        <w:rPr>
          <w:rFonts w:ascii="Arial" w:hAnsi="Arial" w:cs="Arial"/>
          <w:sz w:val="24"/>
          <w:szCs w:val="24"/>
          <w:lang w:val="fr-FR"/>
        </w:rPr>
        <w:t xml:space="preserve"> est</w:t>
      </w:r>
      <w:r w:rsidR="00EF1783" w:rsidRPr="00FF16BD">
        <w:rPr>
          <w:rFonts w:ascii="Arial" w:hAnsi="Arial" w:cs="Arial"/>
          <w:sz w:val="24"/>
          <w:szCs w:val="24"/>
          <w:lang w:val="fr-FR"/>
        </w:rPr>
        <w:t xml:space="preserve">, en outre, </w:t>
      </w:r>
      <w:r w:rsidR="00F12F51" w:rsidRPr="00FF16BD">
        <w:rPr>
          <w:rFonts w:ascii="Arial" w:hAnsi="Arial" w:cs="Arial"/>
          <w:sz w:val="24"/>
          <w:szCs w:val="24"/>
          <w:lang w:val="fr-FR"/>
        </w:rPr>
        <w:t>devenue partie</w:t>
      </w:r>
      <w:r w:rsidR="00B15189" w:rsidRPr="00FF16BD">
        <w:rPr>
          <w:rFonts w:ascii="Arial" w:hAnsi="Arial" w:cs="Arial"/>
          <w:sz w:val="24"/>
          <w:szCs w:val="24"/>
          <w:lang w:val="fr-FR"/>
        </w:rPr>
        <w:t xml:space="preserve"> </w:t>
      </w:r>
      <w:r w:rsidR="00F12F51" w:rsidRPr="00FF16BD">
        <w:rPr>
          <w:rFonts w:ascii="Arial" w:hAnsi="Arial" w:cs="Arial"/>
          <w:sz w:val="24"/>
          <w:szCs w:val="24"/>
          <w:lang w:val="fr-FR"/>
        </w:rPr>
        <w:t>au</w:t>
      </w:r>
      <w:r w:rsidR="00B15189" w:rsidRPr="00FF16BD">
        <w:rPr>
          <w:rFonts w:ascii="Arial" w:hAnsi="Arial" w:cs="Arial"/>
          <w:sz w:val="24"/>
          <w:szCs w:val="24"/>
          <w:lang w:val="fr-FR"/>
        </w:rPr>
        <w:t xml:space="preserve"> Pacte international relatif aux droits civils et politiques</w:t>
      </w:r>
      <w:r w:rsidR="007F128B" w:rsidRPr="00FF16BD">
        <w:rPr>
          <w:rFonts w:ascii="Arial" w:hAnsi="Arial" w:cs="Arial"/>
          <w:sz w:val="24"/>
          <w:szCs w:val="24"/>
          <w:lang w:val="fr-FR"/>
        </w:rPr>
        <w:t xml:space="preserve"> (ci-après « le P</w:t>
      </w:r>
      <w:r w:rsidR="00A41723" w:rsidRPr="00FF16BD">
        <w:rPr>
          <w:rFonts w:ascii="Arial" w:hAnsi="Arial" w:cs="Arial"/>
          <w:sz w:val="24"/>
          <w:szCs w:val="24"/>
          <w:lang w:val="fr-FR"/>
        </w:rPr>
        <w:t>IDCP</w:t>
      </w:r>
      <w:r w:rsidR="007F128B" w:rsidRPr="00FF16BD">
        <w:rPr>
          <w:rFonts w:ascii="Arial" w:hAnsi="Arial" w:cs="Arial"/>
          <w:sz w:val="24"/>
          <w:szCs w:val="24"/>
          <w:lang w:val="fr-FR"/>
        </w:rPr>
        <w:t xml:space="preserve"> »)</w:t>
      </w:r>
      <w:r w:rsidR="00EF1783" w:rsidRPr="00FF16BD">
        <w:rPr>
          <w:rFonts w:ascii="Arial" w:hAnsi="Arial" w:cs="Arial"/>
          <w:sz w:val="24"/>
          <w:szCs w:val="24"/>
          <w:lang w:val="fr-FR"/>
        </w:rPr>
        <w:t xml:space="preserve"> le 26 mars 1992. </w:t>
      </w:r>
    </w:p>
    <w:p w14:paraId="160125C2" w14:textId="77777777" w:rsidR="00356A56" w:rsidRPr="00FF16BD" w:rsidRDefault="00356A56" w:rsidP="00917627">
      <w:pPr>
        <w:pStyle w:val="ListParagraph"/>
        <w:spacing w:line="360" w:lineRule="auto"/>
        <w:jc w:val="both"/>
        <w:rPr>
          <w:rFonts w:ascii="Arial" w:hAnsi="Arial" w:cs="Arial"/>
          <w:b/>
          <w:sz w:val="24"/>
          <w:szCs w:val="24"/>
          <w:lang w:val="fr-FR"/>
        </w:rPr>
      </w:pPr>
    </w:p>
    <w:p w14:paraId="45125047" w14:textId="73746A70" w:rsidR="00B15189" w:rsidRPr="00FF16BD" w:rsidRDefault="00B15189" w:rsidP="00C11038">
      <w:pPr>
        <w:pStyle w:val="Heading1"/>
        <w:numPr>
          <w:ilvl w:val="0"/>
          <w:numId w:val="35"/>
        </w:numPr>
        <w:ind w:left="567" w:hanging="567"/>
        <w:jc w:val="left"/>
        <w:rPr>
          <w:sz w:val="24"/>
        </w:rPr>
      </w:pPr>
      <w:bookmarkStart w:id="2" w:name="_Toc509567802"/>
      <w:r w:rsidRPr="00FF16BD">
        <w:rPr>
          <w:sz w:val="24"/>
        </w:rPr>
        <w:t>OBJET DE LA REQUÊTE</w:t>
      </w:r>
      <w:bookmarkEnd w:id="2"/>
      <w:r w:rsidRPr="00FF16BD">
        <w:rPr>
          <w:sz w:val="24"/>
        </w:rPr>
        <w:t xml:space="preserve"> </w:t>
      </w:r>
    </w:p>
    <w:p w14:paraId="6A9E9499" w14:textId="77777777" w:rsidR="00B15189" w:rsidRPr="00FF16BD" w:rsidRDefault="00B15189" w:rsidP="00917627">
      <w:pPr>
        <w:pStyle w:val="ListParagraph"/>
        <w:spacing w:line="360" w:lineRule="auto"/>
        <w:ind w:left="1080"/>
        <w:jc w:val="both"/>
        <w:rPr>
          <w:rFonts w:ascii="Arial" w:hAnsi="Arial" w:cs="Arial"/>
          <w:b/>
          <w:sz w:val="24"/>
          <w:szCs w:val="24"/>
          <w:lang w:val="fr-FR"/>
        </w:rPr>
      </w:pPr>
    </w:p>
    <w:p w14:paraId="60B7A57F" w14:textId="2D74D1E8" w:rsidR="00D05375" w:rsidRPr="00FF16BD" w:rsidRDefault="00D05375"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Requête </w:t>
      </w:r>
      <w:r w:rsidR="00B36B98" w:rsidRPr="00FF16BD">
        <w:rPr>
          <w:rFonts w:ascii="Arial" w:hAnsi="Arial" w:cs="Arial"/>
          <w:sz w:val="24"/>
          <w:szCs w:val="24"/>
          <w:lang w:val="fr-FR"/>
        </w:rPr>
        <w:t xml:space="preserve">a pour origine un contentieux de contrat entre privés </w:t>
      </w:r>
      <w:r w:rsidR="005A31A4" w:rsidRPr="00FF16BD">
        <w:rPr>
          <w:rFonts w:ascii="Arial" w:hAnsi="Arial" w:cs="Arial"/>
          <w:sz w:val="24"/>
          <w:szCs w:val="24"/>
          <w:lang w:val="fr-FR"/>
        </w:rPr>
        <w:t xml:space="preserve">qui a été </w:t>
      </w:r>
      <w:r w:rsidR="00BD0297" w:rsidRPr="00FF16BD">
        <w:rPr>
          <w:rFonts w:ascii="Arial" w:hAnsi="Arial" w:cs="Arial"/>
          <w:sz w:val="24"/>
          <w:szCs w:val="24"/>
          <w:lang w:val="fr-FR"/>
        </w:rPr>
        <w:t>porté devant les</w:t>
      </w:r>
      <w:r w:rsidR="00B36B98" w:rsidRPr="00FF16BD">
        <w:rPr>
          <w:rFonts w:ascii="Arial" w:hAnsi="Arial" w:cs="Arial"/>
          <w:sz w:val="24"/>
          <w:szCs w:val="24"/>
          <w:lang w:val="fr-FR"/>
        </w:rPr>
        <w:t xml:space="preserve"> juridictions de l’</w:t>
      </w:r>
      <w:r w:rsidR="00F47DED" w:rsidRPr="00FF16BD">
        <w:rPr>
          <w:rFonts w:ascii="Arial" w:hAnsi="Arial" w:cs="Arial"/>
          <w:sz w:val="24"/>
          <w:szCs w:val="24"/>
          <w:lang w:val="fr-FR"/>
        </w:rPr>
        <w:t>État</w:t>
      </w:r>
      <w:r w:rsidR="00B36B98" w:rsidRPr="00FF16BD">
        <w:rPr>
          <w:rFonts w:ascii="Arial" w:hAnsi="Arial" w:cs="Arial"/>
          <w:sz w:val="24"/>
          <w:szCs w:val="24"/>
          <w:lang w:val="fr-FR"/>
        </w:rPr>
        <w:t xml:space="preserve"> défendeur. Le Requérant y allègue principalement la violation par lesdites juridictions de </w:t>
      </w:r>
      <w:r w:rsidR="00BD0297" w:rsidRPr="00FF16BD">
        <w:rPr>
          <w:rFonts w:ascii="Arial" w:hAnsi="Arial" w:cs="Arial"/>
          <w:sz w:val="24"/>
          <w:szCs w:val="24"/>
          <w:lang w:val="fr-FR"/>
        </w:rPr>
        <w:t>son</w:t>
      </w:r>
      <w:r w:rsidR="00B36B98" w:rsidRPr="00FF16BD">
        <w:rPr>
          <w:rFonts w:ascii="Arial" w:hAnsi="Arial" w:cs="Arial"/>
          <w:sz w:val="24"/>
          <w:szCs w:val="24"/>
          <w:lang w:val="fr-FR"/>
        </w:rPr>
        <w:t xml:space="preserve"> droit </w:t>
      </w:r>
      <w:r w:rsidR="00BD0297" w:rsidRPr="00FF16BD">
        <w:rPr>
          <w:rFonts w:ascii="Arial" w:hAnsi="Arial" w:cs="Arial"/>
          <w:sz w:val="24"/>
          <w:szCs w:val="24"/>
          <w:lang w:val="fr-FR"/>
        </w:rPr>
        <w:t>à un</w:t>
      </w:r>
      <w:r w:rsidR="00B36B98" w:rsidRPr="00FF16BD">
        <w:rPr>
          <w:rFonts w:ascii="Arial" w:hAnsi="Arial" w:cs="Arial"/>
          <w:sz w:val="24"/>
          <w:szCs w:val="24"/>
          <w:lang w:val="fr-FR"/>
        </w:rPr>
        <w:t xml:space="preserve"> procès équitable garanti </w:t>
      </w:r>
      <w:r w:rsidR="00BD0297" w:rsidRPr="00FF16BD">
        <w:rPr>
          <w:rFonts w:ascii="Arial" w:hAnsi="Arial" w:cs="Arial"/>
          <w:sz w:val="24"/>
          <w:szCs w:val="24"/>
          <w:lang w:val="fr-FR"/>
        </w:rPr>
        <w:t>par</w:t>
      </w:r>
      <w:r w:rsidR="00B36B98" w:rsidRPr="00FF16BD">
        <w:rPr>
          <w:rFonts w:ascii="Arial" w:hAnsi="Arial" w:cs="Arial"/>
          <w:sz w:val="24"/>
          <w:szCs w:val="24"/>
          <w:lang w:val="fr-FR"/>
        </w:rPr>
        <w:t xml:space="preserve"> la Charte. </w:t>
      </w:r>
    </w:p>
    <w:p w14:paraId="512BB29F" w14:textId="187D24A6" w:rsidR="00D224FD" w:rsidRPr="00FF16BD" w:rsidRDefault="00C11038" w:rsidP="00C11038">
      <w:pPr>
        <w:pStyle w:val="Heading2"/>
        <w:numPr>
          <w:ilvl w:val="0"/>
          <w:numId w:val="36"/>
        </w:numPr>
        <w:rPr>
          <w:rFonts w:ascii="Arial" w:hAnsi="Arial" w:cs="Arial"/>
          <w:color w:val="auto"/>
          <w:sz w:val="24"/>
          <w:lang w:val="fr-FR"/>
        </w:rPr>
      </w:pPr>
      <w:bookmarkStart w:id="3" w:name="_Toc509567803"/>
      <w:r w:rsidRPr="00FF16BD">
        <w:rPr>
          <w:rFonts w:ascii="Arial" w:hAnsi="Arial" w:cs="Arial"/>
          <w:color w:val="auto"/>
          <w:sz w:val="24"/>
          <w:lang w:val="fr-FR"/>
        </w:rPr>
        <w:t xml:space="preserve">Les </w:t>
      </w:r>
      <w:r w:rsidR="00365844" w:rsidRPr="00FF16BD">
        <w:rPr>
          <w:rFonts w:ascii="Arial" w:hAnsi="Arial" w:cs="Arial"/>
          <w:color w:val="auto"/>
          <w:sz w:val="24"/>
          <w:lang w:val="fr-FR"/>
        </w:rPr>
        <w:t>f</w:t>
      </w:r>
      <w:r w:rsidRPr="00FF16BD">
        <w:rPr>
          <w:rFonts w:ascii="Arial" w:hAnsi="Arial" w:cs="Arial"/>
          <w:color w:val="auto"/>
          <w:sz w:val="24"/>
          <w:lang w:val="fr-FR"/>
        </w:rPr>
        <w:t>aits</w:t>
      </w:r>
      <w:bookmarkEnd w:id="3"/>
      <w:r w:rsidRPr="00FF16BD">
        <w:rPr>
          <w:rFonts w:ascii="Arial" w:hAnsi="Arial" w:cs="Arial"/>
          <w:color w:val="auto"/>
          <w:sz w:val="24"/>
          <w:lang w:val="fr-FR"/>
        </w:rPr>
        <w:t xml:space="preserve"> </w:t>
      </w:r>
    </w:p>
    <w:p w14:paraId="14705B47" w14:textId="77777777" w:rsidR="00894011" w:rsidRPr="00FF16BD" w:rsidRDefault="00894011" w:rsidP="00917627">
      <w:pPr>
        <w:pStyle w:val="ListParagraph"/>
        <w:spacing w:line="360" w:lineRule="auto"/>
        <w:jc w:val="both"/>
        <w:rPr>
          <w:rFonts w:ascii="Arial" w:hAnsi="Arial" w:cs="Arial"/>
          <w:b/>
          <w:sz w:val="24"/>
          <w:szCs w:val="24"/>
          <w:lang w:val="fr-FR"/>
        </w:rPr>
      </w:pPr>
    </w:p>
    <w:p w14:paraId="356A68AB" w14:textId="55CA6881" w:rsidR="00894011" w:rsidRPr="00FF16BD" w:rsidRDefault="00BD0297"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Le Requérant </w:t>
      </w:r>
      <w:r w:rsidR="00494A89" w:rsidRPr="00FF16BD">
        <w:rPr>
          <w:rFonts w:ascii="Arial" w:hAnsi="Arial" w:cs="Arial"/>
          <w:sz w:val="24"/>
          <w:szCs w:val="24"/>
          <w:lang w:val="fr-FR"/>
        </w:rPr>
        <w:t xml:space="preserve">allègue </w:t>
      </w:r>
      <w:r w:rsidRPr="00FF16BD">
        <w:rPr>
          <w:rFonts w:ascii="Arial" w:hAnsi="Arial" w:cs="Arial"/>
          <w:sz w:val="24"/>
          <w:szCs w:val="24"/>
          <w:lang w:val="fr-FR"/>
        </w:rPr>
        <w:t>que d</w:t>
      </w:r>
      <w:r w:rsidR="00894011" w:rsidRPr="00FF16BD">
        <w:rPr>
          <w:rFonts w:ascii="Arial" w:hAnsi="Arial" w:cs="Arial"/>
          <w:sz w:val="24"/>
          <w:szCs w:val="24"/>
          <w:lang w:val="fr-FR"/>
        </w:rPr>
        <w:t>ans le cadre des activités des S</w:t>
      </w:r>
      <w:r w:rsidR="004F4D82" w:rsidRPr="00FF16BD">
        <w:rPr>
          <w:rFonts w:ascii="Arial" w:hAnsi="Arial" w:cs="Arial"/>
          <w:sz w:val="24"/>
          <w:szCs w:val="24"/>
          <w:lang w:val="fr-FR"/>
        </w:rPr>
        <w:t>ociété</w:t>
      </w:r>
      <w:r w:rsidR="00894011" w:rsidRPr="00FF16BD">
        <w:rPr>
          <w:rFonts w:ascii="Arial" w:hAnsi="Arial" w:cs="Arial"/>
          <w:sz w:val="24"/>
          <w:szCs w:val="24"/>
          <w:lang w:val="fr-FR"/>
        </w:rPr>
        <w:t>s</w:t>
      </w:r>
      <w:r w:rsidR="004F4D82" w:rsidRPr="00FF16BD">
        <w:rPr>
          <w:rFonts w:ascii="Arial" w:hAnsi="Arial" w:cs="Arial"/>
          <w:sz w:val="24"/>
          <w:szCs w:val="24"/>
          <w:lang w:val="fr-FR"/>
        </w:rPr>
        <w:t xml:space="preserve"> </w:t>
      </w:r>
      <w:r w:rsidR="00894011" w:rsidRPr="00FF16BD">
        <w:rPr>
          <w:rFonts w:ascii="Arial" w:hAnsi="Arial" w:cs="Arial"/>
          <w:sz w:val="24"/>
          <w:szCs w:val="24"/>
          <w:lang w:val="fr-FR"/>
        </w:rPr>
        <w:t xml:space="preserve">AFRECO et </w:t>
      </w:r>
      <w:r w:rsidR="00D04F6D" w:rsidRPr="00FF16BD">
        <w:rPr>
          <w:rFonts w:ascii="Arial" w:hAnsi="Arial" w:cs="Arial"/>
          <w:sz w:val="24"/>
          <w:szCs w:val="24"/>
          <w:lang w:val="fr-FR"/>
        </w:rPr>
        <w:t xml:space="preserve">AGRILAND </w:t>
      </w:r>
      <w:r w:rsidR="004F4D82" w:rsidRPr="00FF16BD">
        <w:rPr>
          <w:rFonts w:ascii="Arial" w:hAnsi="Arial" w:cs="Arial"/>
          <w:sz w:val="24"/>
          <w:szCs w:val="24"/>
          <w:lang w:val="fr-FR"/>
        </w:rPr>
        <w:t xml:space="preserve">dont il est </w:t>
      </w:r>
      <w:r w:rsidR="00894011" w:rsidRPr="00FF16BD">
        <w:rPr>
          <w:rFonts w:ascii="Arial" w:hAnsi="Arial" w:cs="Arial"/>
          <w:sz w:val="24"/>
          <w:szCs w:val="24"/>
          <w:lang w:val="fr-FR"/>
        </w:rPr>
        <w:t xml:space="preserve">fondateur et </w:t>
      </w:r>
      <w:r w:rsidR="004F4D82" w:rsidRPr="00FF16BD">
        <w:rPr>
          <w:rFonts w:ascii="Arial" w:hAnsi="Arial" w:cs="Arial"/>
          <w:sz w:val="24"/>
          <w:szCs w:val="24"/>
          <w:lang w:val="fr-FR"/>
        </w:rPr>
        <w:t xml:space="preserve">actionnaire majoritaire, </w:t>
      </w:r>
      <w:r w:rsidRPr="00FF16BD">
        <w:rPr>
          <w:rFonts w:ascii="Arial" w:hAnsi="Arial" w:cs="Arial"/>
          <w:sz w:val="24"/>
          <w:szCs w:val="24"/>
          <w:lang w:val="fr-FR"/>
        </w:rPr>
        <w:t xml:space="preserve">il </w:t>
      </w:r>
      <w:r w:rsidR="00894011" w:rsidRPr="00FF16BD">
        <w:rPr>
          <w:rFonts w:ascii="Arial" w:hAnsi="Arial" w:cs="Arial"/>
          <w:sz w:val="24"/>
          <w:szCs w:val="24"/>
          <w:lang w:val="fr-FR"/>
        </w:rPr>
        <w:t>a obtenu du sieur KONE DOSSONGUI, propriétaire de la plantation industrielle d’agrumes ANDRE sise à Guitry, dans la région de Divo en Côte d’Ivoire, un accord pour la vente de ladite propriété.</w:t>
      </w:r>
    </w:p>
    <w:p w14:paraId="4328068D" w14:textId="77777777" w:rsidR="00917627" w:rsidRPr="00FF16BD" w:rsidRDefault="00917627" w:rsidP="00917627">
      <w:pPr>
        <w:pStyle w:val="ListParagraph"/>
        <w:spacing w:line="360" w:lineRule="auto"/>
        <w:jc w:val="both"/>
        <w:rPr>
          <w:rFonts w:ascii="Arial" w:hAnsi="Arial" w:cs="Arial"/>
          <w:sz w:val="24"/>
          <w:szCs w:val="24"/>
          <w:lang w:val="fr-FR"/>
        </w:rPr>
      </w:pPr>
    </w:p>
    <w:p w14:paraId="7190296F" w14:textId="1D2D965C" w:rsidR="00D0008C" w:rsidRPr="00FF16BD" w:rsidRDefault="009E7302"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L’accord fut</w:t>
      </w:r>
      <w:r w:rsidR="00894011" w:rsidRPr="00FF16BD">
        <w:rPr>
          <w:rFonts w:ascii="Arial" w:hAnsi="Arial" w:cs="Arial"/>
          <w:sz w:val="24"/>
          <w:szCs w:val="24"/>
          <w:lang w:val="fr-FR"/>
        </w:rPr>
        <w:t xml:space="preserve"> </w:t>
      </w:r>
      <w:r w:rsidR="00BD0297" w:rsidRPr="00FF16BD">
        <w:rPr>
          <w:rFonts w:ascii="Arial" w:hAnsi="Arial" w:cs="Arial"/>
          <w:sz w:val="24"/>
          <w:szCs w:val="24"/>
          <w:lang w:val="fr-FR"/>
        </w:rPr>
        <w:t>conclu</w:t>
      </w:r>
      <w:r w:rsidR="00894011" w:rsidRPr="00FF16BD">
        <w:rPr>
          <w:rFonts w:ascii="Arial" w:hAnsi="Arial" w:cs="Arial"/>
          <w:sz w:val="24"/>
          <w:szCs w:val="24"/>
          <w:lang w:val="fr-FR"/>
        </w:rPr>
        <w:t xml:space="preserve"> le </w:t>
      </w:r>
      <w:r w:rsidR="00D04F6D" w:rsidRPr="00FF16BD">
        <w:rPr>
          <w:rFonts w:ascii="Arial" w:hAnsi="Arial" w:cs="Arial"/>
          <w:sz w:val="24"/>
          <w:szCs w:val="24"/>
          <w:lang w:val="fr-FR"/>
        </w:rPr>
        <w:t xml:space="preserve">9 juin 1999 et le prix de </w:t>
      </w:r>
      <w:r w:rsidR="00894011" w:rsidRPr="00FF16BD">
        <w:rPr>
          <w:rFonts w:ascii="Arial" w:hAnsi="Arial" w:cs="Arial"/>
          <w:sz w:val="24"/>
          <w:szCs w:val="24"/>
          <w:lang w:val="fr-FR"/>
        </w:rPr>
        <w:t>Deux Cent Millions de Francs CFA (</w:t>
      </w:r>
      <w:r w:rsidR="00D04F6D" w:rsidRPr="00FF16BD">
        <w:rPr>
          <w:rFonts w:ascii="Arial" w:hAnsi="Arial" w:cs="Arial"/>
          <w:sz w:val="24"/>
          <w:szCs w:val="24"/>
          <w:lang w:val="fr-FR"/>
        </w:rPr>
        <w:t>200</w:t>
      </w:r>
      <w:r w:rsidR="00894011" w:rsidRPr="00FF16BD">
        <w:rPr>
          <w:rFonts w:ascii="Arial" w:hAnsi="Arial" w:cs="Arial"/>
          <w:sz w:val="24"/>
          <w:szCs w:val="24"/>
          <w:lang w:val="fr-FR"/>
        </w:rPr>
        <w:t>.000.000</w:t>
      </w:r>
      <w:r w:rsidR="00D04F6D" w:rsidRPr="00FF16BD">
        <w:rPr>
          <w:rFonts w:ascii="Arial" w:hAnsi="Arial" w:cs="Arial"/>
          <w:sz w:val="24"/>
          <w:szCs w:val="24"/>
          <w:lang w:val="fr-FR"/>
        </w:rPr>
        <w:t xml:space="preserve"> </w:t>
      </w:r>
      <w:r w:rsidR="00894011" w:rsidRPr="00FF16BD">
        <w:rPr>
          <w:rFonts w:ascii="Arial" w:hAnsi="Arial" w:cs="Arial"/>
          <w:sz w:val="24"/>
          <w:szCs w:val="24"/>
          <w:lang w:val="fr-FR"/>
        </w:rPr>
        <w:t>F</w:t>
      </w:r>
      <w:r w:rsidR="00D04F6D" w:rsidRPr="00FF16BD">
        <w:rPr>
          <w:rFonts w:ascii="Arial" w:hAnsi="Arial" w:cs="Arial"/>
          <w:sz w:val="24"/>
          <w:szCs w:val="24"/>
          <w:lang w:val="fr-FR"/>
        </w:rPr>
        <w:t xml:space="preserve"> CFA</w:t>
      </w:r>
      <w:r w:rsidR="00894011" w:rsidRPr="00FF16BD">
        <w:rPr>
          <w:rFonts w:ascii="Arial" w:hAnsi="Arial" w:cs="Arial"/>
          <w:sz w:val="24"/>
          <w:szCs w:val="24"/>
          <w:lang w:val="fr-FR"/>
        </w:rPr>
        <w:t>)</w:t>
      </w:r>
      <w:r w:rsidR="00D04F6D" w:rsidRPr="00FF16BD">
        <w:rPr>
          <w:rFonts w:ascii="Arial" w:hAnsi="Arial" w:cs="Arial"/>
          <w:sz w:val="24"/>
          <w:szCs w:val="24"/>
          <w:lang w:val="fr-FR"/>
        </w:rPr>
        <w:t xml:space="preserve"> convenu</w:t>
      </w:r>
      <w:r w:rsidRPr="00FF16BD">
        <w:rPr>
          <w:rFonts w:ascii="Arial" w:hAnsi="Arial" w:cs="Arial"/>
          <w:sz w:val="24"/>
          <w:szCs w:val="24"/>
          <w:lang w:val="fr-FR"/>
        </w:rPr>
        <w:t>. Le vendeur encaissa</w:t>
      </w:r>
      <w:r w:rsidR="00894011" w:rsidRPr="00FF16BD">
        <w:rPr>
          <w:rFonts w:ascii="Arial" w:hAnsi="Arial" w:cs="Arial"/>
          <w:sz w:val="24"/>
          <w:szCs w:val="24"/>
          <w:lang w:val="fr-FR"/>
        </w:rPr>
        <w:t xml:space="preserve"> la somme de Cent Soixante Millions de Francs CFA (160.000.000 F CFA)</w:t>
      </w:r>
      <w:r w:rsidRPr="00FF16BD">
        <w:rPr>
          <w:rFonts w:ascii="Arial" w:hAnsi="Arial" w:cs="Arial"/>
          <w:sz w:val="24"/>
          <w:szCs w:val="24"/>
          <w:lang w:val="fr-FR"/>
        </w:rPr>
        <w:t xml:space="preserve"> mais refusa</w:t>
      </w:r>
      <w:r w:rsidR="00D04F6D" w:rsidRPr="00FF16BD">
        <w:rPr>
          <w:rFonts w:ascii="Arial" w:hAnsi="Arial" w:cs="Arial"/>
          <w:sz w:val="24"/>
          <w:szCs w:val="24"/>
          <w:lang w:val="fr-FR"/>
        </w:rPr>
        <w:t xml:space="preserve"> </w:t>
      </w:r>
      <w:r w:rsidR="00D0008C" w:rsidRPr="00FF16BD">
        <w:rPr>
          <w:rFonts w:ascii="Arial" w:hAnsi="Arial" w:cs="Arial"/>
          <w:sz w:val="24"/>
          <w:szCs w:val="24"/>
          <w:lang w:val="fr-FR"/>
        </w:rPr>
        <w:t>de signer l’Acte notarié de vente établi par son propre Notaire. Le Requérant</w:t>
      </w:r>
      <w:r w:rsidR="005335D6" w:rsidRPr="00FF16BD">
        <w:rPr>
          <w:rFonts w:ascii="Arial" w:hAnsi="Arial" w:cs="Arial"/>
          <w:sz w:val="24"/>
          <w:szCs w:val="24"/>
          <w:lang w:val="fr-FR"/>
        </w:rPr>
        <w:t xml:space="preserve">, </w:t>
      </w:r>
      <w:r w:rsidR="00D0008C" w:rsidRPr="00FF16BD">
        <w:rPr>
          <w:rFonts w:ascii="Arial" w:hAnsi="Arial" w:cs="Arial"/>
          <w:sz w:val="24"/>
          <w:szCs w:val="24"/>
          <w:lang w:val="fr-FR"/>
        </w:rPr>
        <w:t>qui occupait déjà la plantation avec l’accor</w:t>
      </w:r>
      <w:r w:rsidRPr="00FF16BD">
        <w:rPr>
          <w:rFonts w:ascii="Arial" w:hAnsi="Arial" w:cs="Arial"/>
          <w:sz w:val="24"/>
          <w:szCs w:val="24"/>
          <w:lang w:val="fr-FR"/>
        </w:rPr>
        <w:t>d des créanciers hypothécaires</w:t>
      </w:r>
      <w:r w:rsidR="005335D6" w:rsidRPr="00FF16BD">
        <w:rPr>
          <w:rFonts w:ascii="Arial" w:hAnsi="Arial" w:cs="Arial"/>
          <w:sz w:val="24"/>
          <w:szCs w:val="24"/>
          <w:lang w:val="fr-FR"/>
        </w:rPr>
        <w:t xml:space="preserve">, </w:t>
      </w:r>
      <w:r w:rsidR="00D0008C" w:rsidRPr="00FF16BD">
        <w:rPr>
          <w:rFonts w:ascii="Arial" w:hAnsi="Arial" w:cs="Arial"/>
          <w:sz w:val="24"/>
          <w:szCs w:val="24"/>
          <w:lang w:val="fr-FR"/>
        </w:rPr>
        <w:t>saisi</w:t>
      </w:r>
      <w:r w:rsidRPr="00FF16BD">
        <w:rPr>
          <w:rFonts w:ascii="Arial" w:hAnsi="Arial" w:cs="Arial"/>
          <w:sz w:val="24"/>
          <w:szCs w:val="24"/>
          <w:lang w:val="fr-FR"/>
        </w:rPr>
        <w:t>t</w:t>
      </w:r>
      <w:r w:rsidR="00451C42" w:rsidRPr="00FF16BD">
        <w:rPr>
          <w:rFonts w:ascii="Arial" w:hAnsi="Arial" w:cs="Arial"/>
          <w:sz w:val="24"/>
          <w:szCs w:val="24"/>
          <w:lang w:val="fr-FR"/>
        </w:rPr>
        <w:t xml:space="preserve"> </w:t>
      </w:r>
      <w:r w:rsidR="00451C42" w:rsidRPr="00FF16BD">
        <w:rPr>
          <w:rFonts w:ascii="Arial" w:hAnsi="Arial" w:cs="Arial"/>
          <w:sz w:val="24"/>
          <w:szCs w:val="24"/>
          <w:lang w:val="fr-FR"/>
        </w:rPr>
        <w:lastRenderedPageBreak/>
        <w:t>alors</w:t>
      </w:r>
      <w:r w:rsidR="00D0008C" w:rsidRPr="00FF16BD">
        <w:rPr>
          <w:rFonts w:ascii="Arial" w:hAnsi="Arial" w:cs="Arial"/>
          <w:sz w:val="24"/>
          <w:szCs w:val="24"/>
          <w:lang w:val="fr-FR"/>
        </w:rPr>
        <w:t xml:space="preserve"> les juridictions compétentes pour obliger le vendeur à honorer ses engagements. </w:t>
      </w:r>
    </w:p>
    <w:p w14:paraId="42927BD6" w14:textId="77777777" w:rsidR="00D0008C" w:rsidRPr="00FF16BD" w:rsidRDefault="00D0008C" w:rsidP="00917627">
      <w:pPr>
        <w:pStyle w:val="ListParagraph"/>
        <w:spacing w:line="360" w:lineRule="auto"/>
        <w:jc w:val="both"/>
        <w:rPr>
          <w:rFonts w:ascii="Arial" w:hAnsi="Arial" w:cs="Arial"/>
          <w:sz w:val="24"/>
          <w:szCs w:val="24"/>
          <w:lang w:val="fr-FR"/>
        </w:rPr>
      </w:pPr>
    </w:p>
    <w:p w14:paraId="08A5ABF8" w14:textId="5DE72DE8" w:rsidR="00553B6A" w:rsidRPr="00FF16BD" w:rsidRDefault="006C68F8"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Suite aux </w:t>
      </w:r>
      <w:r w:rsidR="0098636B" w:rsidRPr="00FF16BD">
        <w:rPr>
          <w:rFonts w:ascii="Arial" w:hAnsi="Arial" w:cs="Arial"/>
          <w:sz w:val="24"/>
          <w:szCs w:val="24"/>
          <w:lang w:val="fr-FR"/>
        </w:rPr>
        <w:t>multiples</w:t>
      </w:r>
      <w:r w:rsidR="00E33A26" w:rsidRPr="00FF16BD">
        <w:rPr>
          <w:rFonts w:ascii="Arial" w:hAnsi="Arial" w:cs="Arial"/>
          <w:sz w:val="24"/>
          <w:szCs w:val="24"/>
          <w:lang w:val="fr-FR"/>
        </w:rPr>
        <w:t xml:space="preserve"> procédures entreprises entre </w:t>
      </w:r>
      <w:r w:rsidR="00FA5450" w:rsidRPr="00FF16BD">
        <w:rPr>
          <w:rFonts w:ascii="Arial" w:hAnsi="Arial" w:cs="Arial"/>
          <w:sz w:val="24"/>
          <w:szCs w:val="24"/>
          <w:lang w:val="fr-FR"/>
        </w:rPr>
        <w:t xml:space="preserve">février 2000 et juin 2014, tant par le Requérant que par le vendeur, plusieurs décisions ont été rendues par les juridictions ivoiriennes </w:t>
      </w:r>
      <w:r w:rsidR="00BD0297" w:rsidRPr="00FF16BD">
        <w:rPr>
          <w:rFonts w:ascii="Arial" w:hAnsi="Arial" w:cs="Arial"/>
          <w:sz w:val="24"/>
          <w:szCs w:val="24"/>
          <w:lang w:val="fr-FR"/>
        </w:rPr>
        <w:t>dont</w:t>
      </w:r>
      <w:r w:rsidR="00E847BF" w:rsidRPr="00FF16BD">
        <w:rPr>
          <w:rFonts w:ascii="Arial" w:hAnsi="Arial" w:cs="Arial"/>
          <w:sz w:val="24"/>
          <w:szCs w:val="24"/>
          <w:lang w:val="fr-FR"/>
        </w:rPr>
        <w:t>,</w:t>
      </w:r>
      <w:r w:rsidR="00BD0297" w:rsidRPr="00FF16BD">
        <w:rPr>
          <w:rFonts w:ascii="Arial" w:hAnsi="Arial" w:cs="Arial"/>
          <w:sz w:val="24"/>
          <w:szCs w:val="24"/>
          <w:lang w:val="fr-FR"/>
        </w:rPr>
        <w:t xml:space="preserve"> entre autres</w:t>
      </w:r>
      <w:r w:rsidR="00E847BF" w:rsidRPr="00FF16BD">
        <w:rPr>
          <w:rFonts w:ascii="Arial" w:hAnsi="Arial" w:cs="Arial"/>
          <w:sz w:val="24"/>
          <w:szCs w:val="24"/>
          <w:lang w:val="fr-FR"/>
        </w:rPr>
        <w:t>,</w:t>
      </w:r>
      <w:r w:rsidR="00BD0297" w:rsidRPr="00FF16BD">
        <w:rPr>
          <w:rFonts w:ascii="Arial" w:hAnsi="Arial" w:cs="Arial"/>
          <w:sz w:val="24"/>
          <w:szCs w:val="24"/>
          <w:lang w:val="fr-FR"/>
        </w:rPr>
        <w:t xml:space="preserve"> </w:t>
      </w:r>
      <w:r w:rsidR="00FA5450" w:rsidRPr="00FF16BD">
        <w:rPr>
          <w:rFonts w:ascii="Arial" w:hAnsi="Arial" w:cs="Arial"/>
          <w:sz w:val="24"/>
          <w:szCs w:val="24"/>
          <w:lang w:val="fr-FR"/>
        </w:rPr>
        <w:t xml:space="preserve">le Tribunal de Divo, la Cour d’appel de Daloa et la Cour suprême de Côte d’Ivoire. </w:t>
      </w:r>
      <w:r w:rsidR="00BD0297" w:rsidRPr="00FF16BD">
        <w:rPr>
          <w:rFonts w:ascii="Arial" w:hAnsi="Arial" w:cs="Arial"/>
          <w:sz w:val="24"/>
          <w:szCs w:val="24"/>
          <w:lang w:val="fr-FR"/>
        </w:rPr>
        <w:t xml:space="preserve">Alors que certaines desdites décisions étaient en faveur du Requérant, d’autres ne l’étaient pas. </w:t>
      </w:r>
    </w:p>
    <w:p w14:paraId="56C2F9CC" w14:textId="77777777" w:rsidR="00553B6A" w:rsidRPr="00FF16BD" w:rsidRDefault="00553B6A" w:rsidP="00917627">
      <w:pPr>
        <w:pStyle w:val="ListParagraph"/>
        <w:spacing w:line="360" w:lineRule="auto"/>
        <w:jc w:val="both"/>
        <w:rPr>
          <w:rFonts w:ascii="Arial" w:hAnsi="Arial" w:cs="Arial"/>
          <w:sz w:val="24"/>
          <w:szCs w:val="24"/>
          <w:lang w:val="fr-FR"/>
        </w:rPr>
      </w:pPr>
    </w:p>
    <w:p w14:paraId="10F5E380" w14:textId="4FC71185" w:rsidR="00553B6A" w:rsidRPr="00FF16BD" w:rsidRDefault="00FA5450" w:rsidP="0097624D">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Estimant que </w:t>
      </w:r>
      <w:r w:rsidR="005A10DB" w:rsidRPr="00FF16BD">
        <w:rPr>
          <w:rFonts w:ascii="Arial" w:hAnsi="Arial" w:cs="Arial"/>
          <w:sz w:val="24"/>
          <w:szCs w:val="24"/>
          <w:lang w:val="fr-FR"/>
        </w:rPr>
        <w:t>certaines d</w:t>
      </w:r>
      <w:r w:rsidRPr="00FF16BD">
        <w:rPr>
          <w:rFonts w:ascii="Arial" w:hAnsi="Arial" w:cs="Arial"/>
          <w:sz w:val="24"/>
          <w:szCs w:val="24"/>
          <w:lang w:val="fr-FR"/>
        </w:rPr>
        <w:t>e</w:t>
      </w:r>
      <w:r w:rsidR="00A41723" w:rsidRPr="00FF16BD">
        <w:rPr>
          <w:rFonts w:ascii="Arial" w:hAnsi="Arial" w:cs="Arial"/>
          <w:sz w:val="24"/>
          <w:szCs w:val="24"/>
          <w:lang w:val="fr-FR"/>
        </w:rPr>
        <w:t xml:space="preserve"> ces</w:t>
      </w:r>
      <w:r w:rsidRPr="00FF16BD">
        <w:rPr>
          <w:rFonts w:ascii="Arial" w:hAnsi="Arial" w:cs="Arial"/>
          <w:sz w:val="24"/>
          <w:szCs w:val="24"/>
          <w:lang w:val="fr-FR"/>
        </w:rPr>
        <w:t xml:space="preserve"> </w:t>
      </w:r>
      <w:r w:rsidR="0098636B" w:rsidRPr="00FF16BD">
        <w:rPr>
          <w:rFonts w:ascii="Arial" w:hAnsi="Arial" w:cs="Arial"/>
          <w:sz w:val="24"/>
          <w:szCs w:val="24"/>
          <w:lang w:val="fr-FR"/>
        </w:rPr>
        <w:t xml:space="preserve">décisions </w:t>
      </w:r>
      <w:r w:rsidRPr="00FF16BD">
        <w:rPr>
          <w:rFonts w:ascii="Arial" w:hAnsi="Arial" w:cs="Arial"/>
          <w:sz w:val="24"/>
          <w:szCs w:val="24"/>
          <w:lang w:val="fr-FR"/>
        </w:rPr>
        <w:t xml:space="preserve">violaient ses droits, le Requérant a saisi </w:t>
      </w:r>
      <w:r w:rsidR="00553B6A" w:rsidRPr="00FF16BD">
        <w:rPr>
          <w:rFonts w:ascii="Arial" w:hAnsi="Arial" w:cs="Arial"/>
          <w:sz w:val="24"/>
          <w:szCs w:val="24"/>
          <w:lang w:val="fr-FR"/>
        </w:rPr>
        <w:t>la Cour de justice de la CEDEAO</w:t>
      </w:r>
      <w:r w:rsidRPr="00FF16BD">
        <w:rPr>
          <w:rFonts w:ascii="Arial" w:hAnsi="Arial" w:cs="Arial"/>
          <w:sz w:val="24"/>
          <w:szCs w:val="24"/>
          <w:lang w:val="fr-FR"/>
        </w:rPr>
        <w:t xml:space="preserve"> qui a rendu deux arrêts. </w:t>
      </w:r>
      <w:r w:rsidR="007E7860" w:rsidRPr="00FF16BD">
        <w:rPr>
          <w:rFonts w:ascii="Arial" w:hAnsi="Arial" w:cs="Arial"/>
          <w:sz w:val="24"/>
          <w:szCs w:val="24"/>
          <w:lang w:val="fr-FR"/>
        </w:rPr>
        <w:t>Par</w:t>
      </w:r>
      <w:r w:rsidR="00BD0297" w:rsidRPr="00FF16BD">
        <w:rPr>
          <w:rFonts w:ascii="Arial" w:hAnsi="Arial" w:cs="Arial"/>
          <w:sz w:val="24"/>
          <w:szCs w:val="24"/>
          <w:lang w:val="fr-FR"/>
        </w:rPr>
        <w:t xml:space="preserve"> </w:t>
      </w:r>
      <w:r w:rsidR="007E7860" w:rsidRPr="00FF16BD">
        <w:rPr>
          <w:rFonts w:ascii="Arial" w:hAnsi="Arial" w:cs="Arial"/>
          <w:sz w:val="24"/>
          <w:szCs w:val="24"/>
          <w:lang w:val="fr-FR"/>
        </w:rPr>
        <w:t xml:space="preserve">le premier arrêt No ECW/CCJ/JUD du 24 avril 2015 portant sur le fond de l’affaire, la Cour a déclaré la Requête </w:t>
      </w:r>
      <w:r w:rsidR="00E66468" w:rsidRPr="00FF16BD">
        <w:rPr>
          <w:rFonts w:ascii="Arial" w:hAnsi="Arial" w:cs="Arial"/>
          <w:sz w:val="24"/>
          <w:szCs w:val="24"/>
          <w:lang w:val="fr-FR"/>
        </w:rPr>
        <w:t>sans fondement</w:t>
      </w:r>
      <w:r w:rsidR="007E7860" w:rsidRPr="00FF16BD">
        <w:rPr>
          <w:rFonts w:ascii="Arial" w:hAnsi="Arial" w:cs="Arial"/>
          <w:sz w:val="24"/>
          <w:szCs w:val="24"/>
          <w:lang w:val="fr-FR"/>
        </w:rPr>
        <w:t>. Par le second arrêt No ECW/CCJ/RUL/08/16 du 17 mai 2016</w:t>
      </w:r>
      <w:r w:rsidR="0097624D" w:rsidRPr="00FF16BD">
        <w:rPr>
          <w:rFonts w:ascii="Arial" w:hAnsi="Arial" w:cs="Arial"/>
          <w:sz w:val="24"/>
          <w:szCs w:val="24"/>
          <w:lang w:val="fr-FR"/>
        </w:rPr>
        <w:t>,</w:t>
      </w:r>
      <w:r w:rsidR="007E7860" w:rsidRPr="00FF16BD">
        <w:rPr>
          <w:rFonts w:ascii="Arial" w:hAnsi="Arial" w:cs="Arial"/>
          <w:sz w:val="24"/>
          <w:szCs w:val="24"/>
          <w:lang w:val="fr-FR"/>
        </w:rPr>
        <w:t xml:space="preserve"> la Cour a également déclaré </w:t>
      </w:r>
      <w:r w:rsidR="00E66468" w:rsidRPr="00FF16BD">
        <w:rPr>
          <w:rFonts w:ascii="Arial" w:hAnsi="Arial" w:cs="Arial"/>
          <w:sz w:val="24"/>
          <w:szCs w:val="24"/>
          <w:lang w:val="fr-FR"/>
        </w:rPr>
        <w:t xml:space="preserve">sans fondement </w:t>
      </w:r>
      <w:r w:rsidR="007E7860" w:rsidRPr="00FF16BD">
        <w:rPr>
          <w:rFonts w:ascii="Arial" w:hAnsi="Arial" w:cs="Arial"/>
          <w:sz w:val="24"/>
          <w:szCs w:val="24"/>
          <w:lang w:val="fr-FR"/>
        </w:rPr>
        <w:t>la requête aux fins d’omission de statuer</w:t>
      </w:r>
      <w:r w:rsidR="0097624D" w:rsidRPr="00FF16BD">
        <w:rPr>
          <w:rFonts w:ascii="Arial" w:hAnsi="Arial" w:cs="Arial"/>
          <w:sz w:val="24"/>
          <w:szCs w:val="24"/>
          <w:lang w:val="fr-FR"/>
        </w:rPr>
        <w:t xml:space="preserve"> introduite par le Requérant</w:t>
      </w:r>
      <w:r w:rsidR="007E7860" w:rsidRPr="00FF16BD">
        <w:rPr>
          <w:rFonts w:ascii="Arial" w:hAnsi="Arial" w:cs="Arial"/>
          <w:sz w:val="24"/>
          <w:szCs w:val="24"/>
          <w:lang w:val="fr-FR"/>
        </w:rPr>
        <w:t xml:space="preserve">. </w:t>
      </w:r>
      <w:r w:rsidRPr="00FF16BD">
        <w:rPr>
          <w:rFonts w:ascii="Arial" w:hAnsi="Arial" w:cs="Arial"/>
          <w:sz w:val="24"/>
          <w:szCs w:val="24"/>
          <w:lang w:val="fr-FR"/>
        </w:rPr>
        <w:t>Insatisfait, le Requérant</w:t>
      </w:r>
      <w:r w:rsidR="00553B6A" w:rsidRPr="00FF16BD">
        <w:rPr>
          <w:rFonts w:ascii="Arial" w:hAnsi="Arial" w:cs="Arial"/>
          <w:sz w:val="24"/>
          <w:szCs w:val="24"/>
          <w:lang w:val="fr-FR"/>
        </w:rPr>
        <w:t xml:space="preserve"> a d</w:t>
      </w:r>
      <w:r w:rsidR="00380880" w:rsidRPr="00FF16BD">
        <w:rPr>
          <w:rFonts w:ascii="Arial" w:hAnsi="Arial" w:cs="Arial"/>
          <w:sz w:val="24"/>
          <w:szCs w:val="24"/>
          <w:lang w:val="fr-FR"/>
        </w:rPr>
        <w:t>écidé de saisir la Cour de céans</w:t>
      </w:r>
      <w:r w:rsidR="008C58EB" w:rsidRPr="00FF16BD">
        <w:rPr>
          <w:rFonts w:ascii="Arial" w:hAnsi="Arial" w:cs="Arial"/>
          <w:sz w:val="24"/>
          <w:szCs w:val="24"/>
          <w:lang w:val="fr-FR"/>
        </w:rPr>
        <w:t xml:space="preserve"> par requête enregistrée au Greffe le 11 juillet 2016</w:t>
      </w:r>
      <w:r w:rsidR="00553B6A" w:rsidRPr="00FF16BD">
        <w:rPr>
          <w:rFonts w:ascii="Arial" w:hAnsi="Arial" w:cs="Arial"/>
          <w:sz w:val="24"/>
          <w:szCs w:val="24"/>
          <w:lang w:val="fr-FR"/>
        </w:rPr>
        <w:t xml:space="preserve">. </w:t>
      </w:r>
    </w:p>
    <w:p w14:paraId="4425578D" w14:textId="77777777" w:rsidR="00553B6A" w:rsidRPr="00FF16BD" w:rsidRDefault="00553B6A" w:rsidP="00917627">
      <w:pPr>
        <w:pStyle w:val="ListParagraph"/>
        <w:spacing w:line="360" w:lineRule="auto"/>
        <w:jc w:val="both"/>
        <w:rPr>
          <w:rFonts w:ascii="Arial" w:hAnsi="Arial" w:cs="Arial"/>
          <w:sz w:val="24"/>
          <w:szCs w:val="24"/>
          <w:lang w:val="fr-FR"/>
        </w:rPr>
      </w:pPr>
    </w:p>
    <w:p w14:paraId="679CA2F2" w14:textId="0D410664" w:rsidR="00553B6A" w:rsidRPr="00FF16BD" w:rsidRDefault="00365844" w:rsidP="00365844">
      <w:pPr>
        <w:pStyle w:val="Heading2"/>
        <w:numPr>
          <w:ilvl w:val="0"/>
          <w:numId w:val="36"/>
        </w:numPr>
        <w:ind w:left="567" w:hanging="567"/>
        <w:rPr>
          <w:rFonts w:ascii="Arial" w:hAnsi="Arial" w:cs="Arial"/>
          <w:color w:val="auto"/>
          <w:sz w:val="24"/>
          <w:lang w:val="fr-FR"/>
        </w:rPr>
      </w:pPr>
      <w:bookmarkStart w:id="4" w:name="_Toc509567804"/>
      <w:r w:rsidRPr="00FF16BD">
        <w:rPr>
          <w:rFonts w:ascii="Arial" w:hAnsi="Arial" w:cs="Arial"/>
          <w:color w:val="auto"/>
          <w:sz w:val="24"/>
          <w:lang w:val="fr-FR"/>
        </w:rPr>
        <w:t>Les violations alléguées</w:t>
      </w:r>
      <w:bookmarkEnd w:id="4"/>
      <w:r w:rsidRPr="00FF16BD">
        <w:rPr>
          <w:rFonts w:ascii="Arial" w:hAnsi="Arial" w:cs="Arial"/>
          <w:color w:val="auto"/>
          <w:sz w:val="24"/>
          <w:lang w:val="fr-FR"/>
        </w:rPr>
        <w:t xml:space="preserve"> </w:t>
      </w:r>
    </w:p>
    <w:p w14:paraId="7F241F3D" w14:textId="77777777" w:rsidR="00553B6A" w:rsidRPr="00FF16BD" w:rsidRDefault="00553B6A" w:rsidP="00917627">
      <w:pPr>
        <w:pStyle w:val="ListParagraph"/>
        <w:spacing w:line="360" w:lineRule="auto"/>
        <w:ind w:left="1080"/>
        <w:rPr>
          <w:rFonts w:ascii="Arial" w:hAnsi="Arial" w:cs="Arial"/>
          <w:b/>
          <w:sz w:val="24"/>
          <w:szCs w:val="24"/>
          <w:lang w:val="fr-FR"/>
        </w:rPr>
      </w:pPr>
    </w:p>
    <w:p w14:paraId="27CF54A2" w14:textId="77777777" w:rsidR="00553B6A" w:rsidRPr="00FF16BD" w:rsidRDefault="00553B6A"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Le Requérant allègue :</w:t>
      </w:r>
    </w:p>
    <w:p w14:paraId="57EE8CDD" w14:textId="77777777" w:rsidR="00553B6A" w:rsidRPr="00FF16BD" w:rsidRDefault="00553B6A" w:rsidP="00917627">
      <w:pPr>
        <w:pStyle w:val="ListParagraph"/>
        <w:spacing w:line="360" w:lineRule="auto"/>
        <w:jc w:val="both"/>
        <w:rPr>
          <w:rFonts w:ascii="Arial" w:hAnsi="Arial" w:cs="Arial"/>
          <w:sz w:val="24"/>
          <w:szCs w:val="24"/>
          <w:lang w:val="fr-FR"/>
        </w:rPr>
      </w:pPr>
    </w:p>
    <w:p w14:paraId="759ED518" w14:textId="77777777" w:rsidR="00671CE7" w:rsidRPr="00FF16BD" w:rsidRDefault="00995056" w:rsidP="00E66468">
      <w:pPr>
        <w:pStyle w:val="ListParagraph"/>
        <w:numPr>
          <w:ilvl w:val="0"/>
          <w:numId w:val="32"/>
        </w:numPr>
        <w:spacing w:line="360" w:lineRule="auto"/>
        <w:jc w:val="both"/>
        <w:rPr>
          <w:rFonts w:ascii="Arial" w:hAnsi="Arial" w:cs="Arial"/>
          <w:sz w:val="24"/>
          <w:szCs w:val="24"/>
          <w:lang w:val="fr-FR"/>
        </w:rPr>
      </w:pPr>
      <w:r w:rsidRPr="00FF16BD">
        <w:rPr>
          <w:rFonts w:ascii="Arial" w:hAnsi="Arial" w:cs="Arial"/>
          <w:sz w:val="24"/>
          <w:szCs w:val="24"/>
          <w:lang w:val="fr-FR"/>
        </w:rPr>
        <w:t>Que</w:t>
      </w:r>
      <w:r w:rsidR="00671CE7" w:rsidRPr="00FF16BD">
        <w:rPr>
          <w:rFonts w:ascii="Arial" w:hAnsi="Arial" w:cs="Arial"/>
          <w:sz w:val="24"/>
          <w:szCs w:val="24"/>
          <w:lang w:val="fr-FR"/>
        </w:rPr>
        <w:t xml:space="preserve"> son droit d’être jugé par une juridiction impartiale protégé par l’article 7(1</w:t>
      </w:r>
      <w:proofErr w:type="gramStart"/>
      <w:r w:rsidR="00671CE7" w:rsidRPr="00FF16BD">
        <w:rPr>
          <w:rFonts w:ascii="Arial" w:hAnsi="Arial" w:cs="Arial"/>
          <w:sz w:val="24"/>
          <w:szCs w:val="24"/>
          <w:lang w:val="fr-FR"/>
        </w:rPr>
        <w:t>)(</w:t>
      </w:r>
      <w:proofErr w:type="gramEnd"/>
      <w:r w:rsidR="00671CE7" w:rsidRPr="00FF16BD">
        <w:rPr>
          <w:rFonts w:ascii="Arial" w:hAnsi="Arial" w:cs="Arial"/>
          <w:sz w:val="24"/>
          <w:szCs w:val="24"/>
          <w:lang w:val="fr-FR"/>
        </w:rPr>
        <w:t xml:space="preserve">d) de la Charte a été violé </w:t>
      </w:r>
      <w:r w:rsidR="00C3520B" w:rsidRPr="00FF16BD">
        <w:rPr>
          <w:rFonts w:ascii="Arial" w:hAnsi="Arial" w:cs="Arial"/>
          <w:sz w:val="24"/>
          <w:szCs w:val="24"/>
          <w:lang w:val="fr-FR"/>
        </w:rPr>
        <w:t xml:space="preserve">en raison </w:t>
      </w:r>
      <w:r w:rsidR="00671CE7" w:rsidRPr="00FF16BD">
        <w:rPr>
          <w:rFonts w:ascii="Arial" w:hAnsi="Arial" w:cs="Arial"/>
          <w:sz w:val="24"/>
          <w:szCs w:val="24"/>
          <w:lang w:val="fr-FR"/>
        </w:rPr>
        <w:t>:</w:t>
      </w:r>
    </w:p>
    <w:p w14:paraId="6961FF9D" w14:textId="77777777" w:rsidR="00671CE7" w:rsidRPr="00FF16BD" w:rsidRDefault="00671CE7" w:rsidP="00E66468">
      <w:pPr>
        <w:pStyle w:val="ListParagraph"/>
        <w:spacing w:line="360" w:lineRule="auto"/>
        <w:ind w:left="1080"/>
        <w:jc w:val="both"/>
        <w:rPr>
          <w:rFonts w:ascii="Arial" w:hAnsi="Arial" w:cs="Arial"/>
          <w:sz w:val="24"/>
          <w:szCs w:val="24"/>
          <w:lang w:val="fr-FR"/>
        </w:rPr>
      </w:pPr>
    </w:p>
    <w:p w14:paraId="6F981AA6" w14:textId="23D2D468" w:rsidR="00671CE7" w:rsidRPr="00FF16BD" w:rsidRDefault="00C3520B" w:rsidP="00E66468">
      <w:pPr>
        <w:pStyle w:val="ListParagraph"/>
        <w:numPr>
          <w:ilvl w:val="0"/>
          <w:numId w:val="4"/>
        </w:numPr>
        <w:spacing w:line="360" w:lineRule="auto"/>
        <w:ind w:left="1440"/>
        <w:jc w:val="both"/>
        <w:rPr>
          <w:rFonts w:ascii="Arial" w:hAnsi="Arial" w:cs="Arial"/>
          <w:sz w:val="24"/>
          <w:szCs w:val="24"/>
          <w:lang w:val="fr-FR"/>
        </w:rPr>
      </w:pPr>
      <w:r w:rsidRPr="00FF16BD">
        <w:rPr>
          <w:rFonts w:ascii="Arial" w:hAnsi="Arial" w:cs="Arial"/>
          <w:sz w:val="24"/>
          <w:szCs w:val="24"/>
          <w:lang w:val="fr-FR"/>
        </w:rPr>
        <w:t>du</w:t>
      </w:r>
      <w:r w:rsidR="00CB7C6B" w:rsidRPr="00FF16BD">
        <w:rPr>
          <w:rFonts w:ascii="Arial" w:hAnsi="Arial" w:cs="Arial"/>
          <w:sz w:val="24"/>
          <w:szCs w:val="24"/>
          <w:lang w:val="fr-FR"/>
        </w:rPr>
        <w:t xml:space="preserve"> fait pour</w:t>
      </w:r>
      <w:r w:rsidR="00995056" w:rsidRPr="00FF16BD">
        <w:rPr>
          <w:rFonts w:ascii="Arial" w:hAnsi="Arial" w:cs="Arial"/>
          <w:sz w:val="24"/>
          <w:szCs w:val="24"/>
          <w:lang w:val="fr-FR"/>
        </w:rPr>
        <w:t xml:space="preserve"> la Cour </w:t>
      </w:r>
      <w:r w:rsidR="00CB7C6B" w:rsidRPr="00FF16BD">
        <w:rPr>
          <w:rFonts w:ascii="Arial" w:hAnsi="Arial" w:cs="Arial"/>
          <w:sz w:val="24"/>
          <w:szCs w:val="24"/>
          <w:lang w:val="fr-FR"/>
        </w:rPr>
        <w:t>d’appel de Daloa de renoncer à l’expertise agricole qu’elle avait ordonnée et de chercher à mettre fin à la mise en état selon la</w:t>
      </w:r>
      <w:r w:rsidR="00213AE6" w:rsidRPr="00FF16BD">
        <w:rPr>
          <w:rFonts w:ascii="Arial" w:hAnsi="Arial" w:cs="Arial"/>
          <w:sz w:val="24"/>
          <w:szCs w:val="24"/>
          <w:lang w:val="fr-FR"/>
        </w:rPr>
        <w:t xml:space="preserve"> volonté de la partie adverse ; </w:t>
      </w:r>
    </w:p>
    <w:p w14:paraId="394352BC" w14:textId="77777777" w:rsidR="00671CE7" w:rsidRPr="00FF16BD" w:rsidRDefault="00671CE7" w:rsidP="00E66468">
      <w:pPr>
        <w:pStyle w:val="ListParagraph"/>
        <w:spacing w:line="360" w:lineRule="auto"/>
        <w:ind w:left="1440"/>
        <w:rPr>
          <w:rFonts w:ascii="Arial" w:hAnsi="Arial" w:cs="Arial"/>
          <w:sz w:val="24"/>
          <w:szCs w:val="24"/>
          <w:lang w:val="fr-FR"/>
        </w:rPr>
      </w:pPr>
    </w:p>
    <w:p w14:paraId="66C9B6A9" w14:textId="497AB5DE" w:rsidR="00671CE7" w:rsidRPr="00FF16BD" w:rsidRDefault="00C3520B" w:rsidP="00E66468">
      <w:pPr>
        <w:pStyle w:val="ListParagraph"/>
        <w:numPr>
          <w:ilvl w:val="0"/>
          <w:numId w:val="4"/>
        </w:numPr>
        <w:spacing w:line="360" w:lineRule="auto"/>
        <w:ind w:left="1440"/>
        <w:jc w:val="both"/>
        <w:rPr>
          <w:rFonts w:ascii="Arial" w:hAnsi="Arial" w:cs="Arial"/>
          <w:sz w:val="24"/>
          <w:szCs w:val="24"/>
          <w:lang w:val="fr-FR"/>
        </w:rPr>
      </w:pPr>
      <w:r w:rsidRPr="00FF16BD">
        <w:rPr>
          <w:rFonts w:ascii="Arial" w:hAnsi="Arial" w:cs="Arial"/>
          <w:sz w:val="24"/>
          <w:szCs w:val="24"/>
          <w:lang w:val="fr-FR"/>
        </w:rPr>
        <w:t xml:space="preserve">de </w:t>
      </w:r>
      <w:r w:rsidR="00213AE6" w:rsidRPr="00FF16BD">
        <w:rPr>
          <w:rFonts w:ascii="Arial" w:hAnsi="Arial" w:cs="Arial"/>
          <w:sz w:val="24"/>
          <w:szCs w:val="24"/>
          <w:lang w:val="fr-FR"/>
        </w:rPr>
        <w:t xml:space="preserve">l’annulation des décisions de séquestres et le rejet de sa demande de réintégration par </w:t>
      </w:r>
      <w:r w:rsidR="00CB7C6B" w:rsidRPr="00FF16BD">
        <w:rPr>
          <w:rFonts w:ascii="Arial" w:hAnsi="Arial" w:cs="Arial"/>
          <w:sz w:val="24"/>
          <w:szCs w:val="24"/>
          <w:lang w:val="fr-FR"/>
        </w:rPr>
        <w:t xml:space="preserve">la Juridiction présidentielle </w:t>
      </w:r>
      <w:r w:rsidR="00213AE6" w:rsidRPr="00FF16BD">
        <w:rPr>
          <w:rFonts w:ascii="Arial" w:hAnsi="Arial" w:cs="Arial"/>
          <w:sz w:val="24"/>
          <w:szCs w:val="24"/>
          <w:lang w:val="fr-FR"/>
        </w:rPr>
        <w:t>de la Section d</w:t>
      </w:r>
      <w:r w:rsidR="006C0721" w:rsidRPr="00FF16BD">
        <w:rPr>
          <w:rFonts w:ascii="Arial" w:hAnsi="Arial" w:cs="Arial"/>
          <w:sz w:val="24"/>
          <w:szCs w:val="24"/>
          <w:lang w:val="fr-FR"/>
        </w:rPr>
        <w:t>u</w:t>
      </w:r>
      <w:r w:rsidR="00213AE6" w:rsidRPr="00FF16BD">
        <w:rPr>
          <w:rFonts w:ascii="Arial" w:hAnsi="Arial" w:cs="Arial"/>
          <w:sz w:val="24"/>
          <w:szCs w:val="24"/>
          <w:lang w:val="fr-FR"/>
        </w:rPr>
        <w:t xml:space="preserve"> Tribunal de Divo ; </w:t>
      </w:r>
    </w:p>
    <w:p w14:paraId="63714C5B" w14:textId="77777777" w:rsidR="00671CE7" w:rsidRPr="00FF16BD" w:rsidRDefault="00671CE7" w:rsidP="00E66468">
      <w:pPr>
        <w:pStyle w:val="ListParagraph"/>
        <w:spacing w:line="360" w:lineRule="auto"/>
        <w:ind w:left="1440"/>
        <w:rPr>
          <w:rFonts w:ascii="Arial" w:hAnsi="Arial" w:cs="Arial"/>
          <w:sz w:val="24"/>
          <w:szCs w:val="24"/>
          <w:lang w:val="fr-FR"/>
        </w:rPr>
      </w:pPr>
    </w:p>
    <w:p w14:paraId="0C8B2C88" w14:textId="7A379BF5" w:rsidR="00671CE7" w:rsidRPr="00FF16BD" w:rsidRDefault="00C3520B" w:rsidP="00E66468">
      <w:pPr>
        <w:pStyle w:val="ListParagraph"/>
        <w:numPr>
          <w:ilvl w:val="0"/>
          <w:numId w:val="4"/>
        </w:numPr>
        <w:spacing w:line="360" w:lineRule="auto"/>
        <w:ind w:left="1440"/>
        <w:jc w:val="both"/>
        <w:rPr>
          <w:rFonts w:ascii="Arial" w:hAnsi="Arial" w:cs="Arial"/>
          <w:sz w:val="24"/>
          <w:szCs w:val="24"/>
          <w:lang w:val="fr-FR"/>
        </w:rPr>
      </w:pPr>
      <w:r w:rsidRPr="00FF16BD">
        <w:rPr>
          <w:rFonts w:ascii="Arial" w:hAnsi="Arial" w:cs="Arial"/>
          <w:sz w:val="24"/>
          <w:szCs w:val="24"/>
          <w:lang w:val="fr-FR"/>
        </w:rPr>
        <w:lastRenderedPageBreak/>
        <w:t xml:space="preserve">de </w:t>
      </w:r>
      <w:r w:rsidR="00213AE6" w:rsidRPr="00FF16BD">
        <w:rPr>
          <w:rFonts w:ascii="Arial" w:hAnsi="Arial" w:cs="Arial"/>
          <w:sz w:val="24"/>
          <w:szCs w:val="24"/>
          <w:lang w:val="fr-FR"/>
        </w:rPr>
        <w:t xml:space="preserve">la désignation d’un nouveau Conseiller chargé de la mise en état, </w:t>
      </w:r>
      <w:r w:rsidR="00494A89" w:rsidRPr="00FF16BD">
        <w:rPr>
          <w:rFonts w:ascii="Arial" w:hAnsi="Arial" w:cs="Arial"/>
          <w:sz w:val="24"/>
          <w:szCs w:val="24"/>
          <w:lang w:val="fr-FR"/>
        </w:rPr>
        <w:t xml:space="preserve">de </w:t>
      </w:r>
      <w:r w:rsidR="00213AE6" w:rsidRPr="00FF16BD">
        <w:rPr>
          <w:rFonts w:ascii="Arial" w:hAnsi="Arial" w:cs="Arial"/>
          <w:sz w:val="24"/>
          <w:szCs w:val="24"/>
          <w:lang w:val="fr-FR"/>
        </w:rPr>
        <w:t>l’interruption de l’expertise antérieurement ordonnée</w:t>
      </w:r>
      <w:r w:rsidR="00DF13A2" w:rsidRPr="00FF16BD">
        <w:rPr>
          <w:rFonts w:ascii="Arial" w:hAnsi="Arial" w:cs="Arial"/>
          <w:sz w:val="24"/>
          <w:szCs w:val="24"/>
          <w:lang w:val="fr-FR"/>
        </w:rPr>
        <w:t xml:space="preserve"> et</w:t>
      </w:r>
      <w:r w:rsidR="00494A89" w:rsidRPr="00FF16BD">
        <w:rPr>
          <w:rFonts w:ascii="Arial" w:hAnsi="Arial" w:cs="Arial"/>
          <w:sz w:val="24"/>
          <w:szCs w:val="24"/>
          <w:lang w:val="fr-FR"/>
        </w:rPr>
        <w:t xml:space="preserve"> de</w:t>
      </w:r>
      <w:r w:rsidR="00DF13A2" w:rsidRPr="00FF16BD">
        <w:rPr>
          <w:rFonts w:ascii="Arial" w:hAnsi="Arial" w:cs="Arial"/>
          <w:sz w:val="24"/>
          <w:szCs w:val="24"/>
          <w:lang w:val="fr-FR"/>
        </w:rPr>
        <w:t xml:space="preserve"> la clôture de la mise en état par la Cour d’appel d’Abidjan ; </w:t>
      </w:r>
    </w:p>
    <w:p w14:paraId="52381F58" w14:textId="77777777" w:rsidR="00671CE7" w:rsidRPr="00FF16BD" w:rsidRDefault="00671CE7" w:rsidP="00E66468">
      <w:pPr>
        <w:pStyle w:val="ListParagraph"/>
        <w:spacing w:line="360" w:lineRule="auto"/>
        <w:ind w:left="1440"/>
        <w:rPr>
          <w:rFonts w:ascii="Arial" w:hAnsi="Arial" w:cs="Arial"/>
          <w:sz w:val="24"/>
          <w:szCs w:val="24"/>
          <w:lang w:val="fr-FR"/>
        </w:rPr>
      </w:pPr>
    </w:p>
    <w:p w14:paraId="4E1746D0" w14:textId="60C6A1E3" w:rsidR="00213AE6" w:rsidRPr="00FF16BD" w:rsidRDefault="00C3520B" w:rsidP="00E66468">
      <w:pPr>
        <w:pStyle w:val="ListParagraph"/>
        <w:numPr>
          <w:ilvl w:val="0"/>
          <w:numId w:val="4"/>
        </w:numPr>
        <w:spacing w:line="360" w:lineRule="auto"/>
        <w:ind w:left="1440"/>
        <w:jc w:val="both"/>
        <w:rPr>
          <w:rFonts w:ascii="Arial" w:hAnsi="Arial" w:cs="Arial"/>
          <w:sz w:val="24"/>
          <w:szCs w:val="24"/>
          <w:lang w:val="fr-FR"/>
        </w:rPr>
      </w:pPr>
      <w:r w:rsidRPr="00FF16BD">
        <w:rPr>
          <w:rFonts w:ascii="Arial" w:hAnsi="Arial" w:cs="Arial"/>
          <w:sz w:val="24"/>
          <w:szCs w:val="24"/>
          <w:lang w:val="fr-FR"/>
        </w:rPr>
        <w:t>du</w:t>
      </w:r>
      <w:r w:rsidR="00DF13A2" w:rsidRPr="00FF16BD">
        <w:rPr>
          <w:rFonts w:ascii="Arial" w:hAnsi="Arial" w:cs="Arial"/>
          <w:sz w:val="24"/>
          <w:szCs w:val="24"/>
          <w:lang w:val="fr-FR"/>
        </w:rPr>
        <w:t xml:space="preserve"> fait</w:t>
      </w:r>
      <w:r w:rsidR="00A41723" w:rsidRPr="00FF16BD">
        <w:rPr>
          <w:rFonts w:ascii="Arial" w:hAnsi="Arial" w:cs="Arial"/>
          <w:sz w:val="24"/>
          <w:szCs w:val="24"/>
          <w:lang w:val="fr-FR"/>
        </w:rPr>
        <w:t>, d’une part,</w:t>
      </w:r>
      <w:r w:rsidR="00DF13A2" w:rsidRPr="00FF16BD">
        <w:rPr>
          <w:rFonts w:ascii="Arial" w:hAnsi="Arial" w:cs="Arial"/>
          <w:sz w:val="24"/>
          <w:szCs w:val="24"/>
          <w:lang w:val="fr-FR"/>
        </w:rPr>
        <w:t xml:space="preserve"> pour la Cour suprême de rejeter toutes </w:t>
      </w:r>
      <w:r w:rsidR="00494A89" w:rsidRPr="00FF16BD">
        <w:rPr>
          <w:rFonts w:ascii="Arial" w:hAnsi="Arial" w:cs="Arial"/>
          <w:sz w:val="24"/>
          <w:szCs w:val="24"/>
          <w:lang w:val="fr-FR"/>
        </w:rPr>
        <w:t>s</w:t>
      </w:r>
      <w:r w:rsidR="00DF13A2" w:rsidRPr="00FF16BD">
        <w:rPr>
          <w:rFonts w:ascii="Arial" w:hAnsi="Arial" w:cs="Arial"/>
          <w:sz w:val="24"/>
          <w:szCs w:val="24"/>
          <w:lang w:val="fr-FR"/>
        </w:rPr>
        <w:t>es demandes alors qu’elle accorde toutes celles introduites par son adversaire</w:t>
      </w:r>
      <w:r w:rsidR="00A41723" w:rsidRPr="00FF16BD">
        <w:rPr>
          <w:rFonts w:ascii="Arial" w:hAnsi="Arial" w:cs="Arial"/>
          <w:sz w:val="24"/>
          <w:szCs w:val="24"/>
          <w:lang w:val="fr-FR"/>
        </w:rPr>
        <w:t xml:space="preserve"> et, d’autre </w:t>
      </w:r>
      <w:r w:rsidR="00DF13A2" w:rsidRPr="00FF16BD">
        <w:rPr>
          <w:rFonts w:ascii="Arial" w:hAnsi="Arial" w:cs="Arial"/>
          <w:sz w:val="24"/>
          <w:szCs w:val="24"/>
          <w:lang w:val="fr-FR"/>
        </w:rPr>
        <w:t>part, le fait pour le Président de la Chambre judiciaire de retirer le dossier à la 2</w:t>
      </w:r>
      <w:r w:rsidR="00DF13A2" w:rsidRPr="00FF16BD">
        <w:rPr>
          <w:rFonts w:ascii="Arial" w:hAnsi="Arial" w:cs="Arial"/>
          <w:sz w:val="24"/>
          <w:szCs w:val="24"/>
          <w:vertAlign w:val="superscript"/>
          <w:lang w:val="fr-FR"/>
        </w:rPr>
        <w:t>ème</w:t>
      </w:r>
      <w:r w:rsidR="00DF13A2" w:rsidRPr="00FF16BD">
        <w:rPr>
          <w:rFonts w:ascii="Arial" w:hAnsi="Arial" w:cs="Arial"/>
          <w:sz w:val="24"/>
          <w:szCs w:val="24"/>
          <w:lang w:val="fr-FR"/>
        </w:rPr>
        <w:t xml:space="preserve"> Formation civile B au profit de la 1</w:t>
      </w:r>
      <w:r w:rsidR="00DF13A2" w:rsidRPr="00FF16BD">
        <w:rPr>
          <w:rFonts w:ascii="Arial" w:hAnsi="Arial" w:cs="Arial"/>
          <w:sz w:val="24"/>
          <w:szCs w:val="24"/>
          <w:vertAlign w:val="superscript"/>
          <w:lang w:val="fr-FR"/>
        </w:rPr>
        <w:t>ère</w:t>
      </w:r>
      <w:r w:rsidR="00DF13A2" w:rsidRPr="00FF16BD">
        <w:rPr>
          <w:rFonts w:ascii="Arial" w:hAnsi="Arial" w:cs="Arial"/>
          <w:sz w:val="24"/>
          <w:szCs w:val="24"/>
          <w:lang w:val="fr-FR"/>
        </w:rPr>
        <w:t xml:space="preserve"> </w:t>
      </w:r>
      <w:r w:rsidR="00603C27" w:rsidRPr="00FF16BD">
        <w:rPr>
          <w:rFonts w:ascii="Arial" w:hAnsi="Arial" w:cs="Arial"/>
          <w:sz w:val="24"/>
          <w:szCs w:val="24"/>
          <w:lang w:val="fr-FR"/>
        </w:rPr>
        <w:t>Formation dont le P</w:t>
      </w:r>
      <w:r w:rsidR="00DF13A2" w:rsidRPr="00FF16BD">
        <w:rPr>
          <w:rFonts w:ascii="Arial" w:hAnsi="Arial" w:cs="Arial"/>
          <w:sz w:val="24"/>
          <w:szCs w:val="24"/>
          <w:lang w:val="fr-FR"/>
        </w:rPr>
        <w:t>résident est devenu le nouveau Conseiller-Rapporteur</w:t>
      </w:r>
      <w:r w:rsidRPr="00FF16BD">
        <w:rPr>
          <w:rFonts w:ascii="Arial" w:hAnsi="Arial" w:cs="Arial"/>
          <w:sz w:val="24"/>
          <w:szCs w:val="24"/>
          <w:lang w:val="fr-FR"/>
        </w:rPr>
        <w:t xml:space="preserve"> </w:t>
      </w:r>
      <w:r w:rsidR="00DF13A2" w:rsidRPr="00FF16BD">
        <w:rPr>
          <w:rFonts w:ascii="Arial" w:hAnsi="Arial" w:cs="Arial"/>
          <w:sz w:val="24"/>
          <w:szCs w:val="24"/>
          <w:lang w:val="fr-FR"/>
        </w:rPr>
        <w:t>;</w:t>
      </w:r>
    </w:p>
    <w:p w14:paraId="6E047D37" w14:textId="77777777" w:rsidR="00DF13A2" w:rsidRPr="00FF16BD" w:rsidRDefault="00DF13A2" w:rsidP="00E66468">
      <w:pPr>
        <w:pStyle w:val="ListParagraph"/>
        <w:spacing w:line="360" w:lineRule="auto"/>
        <w:ind w:left="1440"/>
        <w:jc w:val="both"/>
        <w:rPr>
          <w:rFonts w:ascii="Arial" w:hAnsi="Arial" w:cs="Arial"/>
          <w:sz w:val="24"/>
          <w:szCs w:val="24"/>
          <w:lang w:val="fr-FR"/>
        </w:rPr>
      </w:pPr>
    </w:p>
    <w:p w14:paraId="3D449726" w14:textId="5CE241D3" w:rsidR="00AE2267" w:rsidRPr="00FF16BD" w:rsidRDefault="00DF13A2" w:rsidP="00E66468">
      <w:pPr>
        <w:pStyle w:val="ListParagraph"/>
        <w:numPr>
          <w:ilvl w:val="0"/>
          <w:numId w:val="32"/>
        </w:numPr>
        <w:spacing w:line="360" w:lineRule="auto"/>
        <w:jc w:val="both"/>
        <w:rPr>
          <w:rFonts w:ascii="Arial" w:hAnsi="Arial" w:cs="Arial"/>
          <w:sz w:val="24"/>
          <w:szCs w:val="24"/>
          <w:lang w:val="fr-FR"/>
        </w:rPr>
      </w:pPr>
      <w:r w:rsidRPr="00FF16BD">
        <w:rPr>
          <w:rFonts w:ascii="Arial" w:hAnsi="Arial" w:cs="Arial"/>
          <w:sz w:val="24"/>
          <w:szCs w:val="24"/>
          <w:lang w:val="fr-FR"/>
        </w:rPr>
        <w:t>Que</w:t>
      </w:r>
      <w:r w:rsidR="00671CE7" w:rsidRPr="00FF16BD">
        <w:rPr>
          <w:rFonts w:ascii="Arial" w:hAnsi="Arial" w:cs="Arial"/>
          <w:sz w:val="24"/>
          <w:szCs w:val="24"/>
          <w:lang w:val="fr-FR"/>
        </w:rPr>
        <w:t xml:space="preserve"> </w:t>
      </w:r>
      <w:r w:rsidR="00C3520B" w:rsidRPr="00FF16BD">
        <w:rPr>
          <w:rFonts w:ascii="Arial" w:hAnsi="Arial" w:cs="Arial"/>
          <w:sz w:val="24"/>
          <w:szCs w:val="24"/>
          <w:lang w:val="fr-FR"/>
        </w:rPr>
        <w:t xml:space="preserve">son </w:t>
      </w:r>
      <w:r w:rsidR="00671CE7" w:rsidRPr="00FF16BD">
        <w:rPr>
          <w:rFonts w:ascii="Arial" w:hAnsi="Arial" w:cs="Arial"/>
          <w:sz w:val="24"/>
          <w:szCs w:val="24"/>
          <w:lang w:val="fr-FR"/>
        </w:rPr>
        <w:t xml:space="preserve">droit à </w:t>
      </w:r>
      <w:r w:rsidR="00702C1A" w:rsidRPr="00FF16BD">
        <w:rPr>
          <w:rFonts w:ascii="Arial" w:hAnsi="Arial" w:cs="Arial"/>
          <w:sz w:val="24"/>
          <w:szCs w:val="24"/>
          <w:lang w:val="fr-FR"/>
        </w:rPr>
        <w:t>l’égalité devant la loi protégé</w:t>
      </w:r>
      <w:r w:rsidR="00671CE7" w:rsidRPr="00FF16BD">
        <w:rPr>
          <w:rFonts w:ascii="Arial" w:hAnsi="Arial" w:cs="Arial"/>
          <w:sz w:val="24"/>
          <w:szCs w:val="24"/>
          <w:lang w:val="fr-FR"/>
        </w:rPr>
        <w:t xml:space="preserve"> par les articles 7 de la Déclaration universelle des droits de l’homme, 3 de la Charte et 2(2) de la Constitution</w:t>
      </w:r>
      <w:r w:rsidRPr="00FF16BD">
        <w:rPr>
          <w:rFonts w:ascii="Arial" w:hAnsi="Arial" w:cs="Arial"/>
          <w:sz w:val="24"/>
          <w:szCs w:val="24"/>
          <w:lang w:val="fr-FR"/>
        </w:rPr>
        <w:t xml:space="preserve"> </w:t>
      </w:r>
      <w:r w:rsidR="0097624D" w:rsidRPr="00FF16BD">
        <w:rPr>
          <w:rFonts w:ascii="Arial" w:hAnsi="Arial" w:cs="Arial"/>
          <w:sz w:val="24"/>
          <w:szCs w:val="24"/>
          <w:lang w:val="fr-FR"/>
        </w:rPr>
        <w:t xml:space="preserve">a été violé </w:t>
      </w:r>
      <w:r w:rsidR="00C3520B" w:rsidRPr="00FF16BD">
        <w:rPr>
          <w:rFonts w:ascii="Arial" w:hAnsi="Arial" w:cs="Arial"/>
          <w:sz w:val="24"/>
          <w:szCs w:val="24"/>
          <w:lang w:val="fr-FR"/>
        </w:rPr>
        <w:t>en raison du</w:t>
      </w:r>
      <w:r w:rsidRPr="00FF16BD">
        <w:rPr>
          <w:rFonts w:ascii="Arial" w:hAnsi="Arial" w:cs="Arial"/>
          <w:sz w:val="24"/>
          <w:szCs w:val="24"/>
          <w:lang w:val="fr-FR"/>
        </w:rPr>
        <w:t xml:space="preserve"> rejet </w:t>
      </w:r>
      <w:r w:rsidR="00AE2267" w:rsidRPr="00FF16BD">
        <w:rPr>
          <w:rFonts w:ascii="Arial" w:hAnsi="Arial" w:cs="Arial"/>
          <w:sz w:val="24"/>
          <w:szCs w:val="24"/>
          <w:lang w:val="fr-FR"/>
        </w:rPr>
        <w:t xml:space="preserve">pour cause d’irrecevabilité </w:t>
      </w:r>
      <w:r w:rsidRPr="00FF16BD">
        <w:rPr>
          <w:rFonts w:ascii="Arial" w:hAnsi="Arial" w:cs="Arial"/>
          <w:sz w:val="24"/>
          <w:szCs w:val="24"/>
          <w:lang w:val="fr-FR"/>
        </w:rPr>
        <w:t xml:space="preserve">par la Cour suprême de son mémoire ampliatif </w:t>
      </w:r>
      <w:r w:rsidR="00AE2267" w:rsidRPr="00FF16BD">
        <w:rPr>
          <w:rFonts w:ascii="Arial" w:hAnsi="Arial" w:cs="Arial"/>
          <w:sz w:val="24"/>
          <w:szCs w:val="24"/>
          <w:lang w:val="fr-FR"/>
        </w:rPr>
        <w:t>alors que celui-ci avait été déposé dans les délais légaux ;</w:t>
      </w:r>
    </w:p>
    <w:p w14:paraId="0B676380" w14:textId="77777777" w:rsidR="00AE2267" w:rsidRPr="00FF16BD" w:rsidRDefault="00AE2267" w:rsidP="00E66468">
      <w:pPr>
        <w:pStyle w:val="ListParagraph"/>
        <w:spacing w:line="360" w:lineRule="auto"/>
        <w:ind w:left="1440"/>
        <w:jc w:val="both"/>
        <w:rPr>
          <w:rFonts w:ascii="Arial" w:hAnsi="Arial" w:cs="Arial"/>
          <w:sz w:val="24"/>
          <w:szCs w:val="24"/>
          <w:lang w:val="fr-FR"/>
        </w:rPr>
      </w:pPr>
    </w:p>
    <w:p w14:paraId="1860DF0C" w14:textId="1F3C9D6B" w:rsidR="00553B6A" w:rsidRPr="00FF16BD" w:rsidRDefault="00AE2267" w:rsidP="00E66468">
      <w:pPr>
        <w:pStyle w:val="ListParagraph"/>
        <w:numPr>
          <w:ilvl w:val="0"/>
          <w:numId w:val="32"/>
        </w:numPr>
        <w:spacing w:line="360" w:lineRule="auto"/>
        <w:jc w:val="both"/>
        <w:rPr>
          <w:rFonts w:ascii="Arial" w:hAnsi="Arial" w:cs="Arial"/>
          <w:sz w:val="24"/>
          <w:szCs w:val="24"/>
          <w:lang w:val="fr-FR"/>
        </w:rPr>
      </w:pPr>
      <w:r w:rsidRPr="00FF16BD">
        <w:rPr>
          <w:rFonts w:ascii="Arial" w:hAnsi="Arial" w:cs="Arial"/>
          <w:sz w:val="24"/>
          <w:szCs w:val="24"/>
          <w:lang w:val="fr-FR"/>
        </w:rPr>
        <w:t xml:space="preserve">Que </w:t>
      </w:r>
      <w:r w:rsidR="0097624D" w:rsidRPr="00FF16BD">
        <w:rPr>
          <w:rFonts w:ascii="Arial" w:hAnsi="Arial" w:cs="Arial"/>
          <w:sz w:val="24"/>
          <w:szCs w:val="24"/>
          <w:lang w:val="fr-FR"/>
        </w:rPr>
        <w:t>son droi</w:t>
      </w:r>
      <w:r w:rsidR="00601A7F" w:rsidRPr="00FF16BD">
        <w:rPr>
          <w:rFonts w:ascii="Arial" w:hAnsi="Arial" w:cs="Arial"/>
          <w:sz w:val="24"/>
          <w:szCs w:val="24"/>
          <w:lang w:val="fr-FR"/>
        </w:rPr>
        <w:t>t à un recours effectif protégé</w:t>
      </w:r>
      <w:r w:rsidR="0097624D" w:rsidRPr="00FF16BD">
        <w:rPr>
          <w:rFonts w:ascii="Arial" w:hAnsi="Arial" w:cs="Arial"/>
          <w:sz w:val="24"/>
          <w:szCs w:val="24"/>
          <w:lang w:val="fr-FR"/>
        </w:rPr>
        <w:t xml:space="preserve"> par les articles 8 de la Déclaration universelle des droits de l’homme, 3(4) du P</w:t>
      </w:r>
      <w:r w:rsidR="00A41723" w:rsidRPr="00FF16BD">
        <w:rPr>
          <w:rFonts w:ascii="Arial" w:hAnsi="Arial" w:cs="Arial"/>
          <w:sz w:val="24"/>
          <w:szCs w:val="24"/>
          <w:lang w:val="fr-FR"/>
        </w:rPr>
        <w:t>IDCP</w:t>
      </w:r>
      <w:r w:rsidR="0097624D" w:rsidRPr="00FF16BD">
        <w:rPr>
          <w:rFonts w:ascii="Arial" w:hAnsi="Arial" w:cs="Arial"/>
          <w:sz w:val="24"/>
          <w:szCs w:val="24"/>
          <w:lang w:val="fr-FR"/>
        </w:rPr>
        <w:t xml:space="preserve"> et 7(1) de la Charte a été violé </w:t>
      </w:r>
      <w:r w:rsidR="00C3520B" w:rsidRPr="00FF16BD">
        <w:rPr>
          <w:rFonts w:ascii="Arial" w:hAnsi="Arial" w:cs="Arial"/>
          <w:sz w:val="24"/>
          <w:szCs w:val="24"/>
          <w:lang w:val="fr-FR"/>
        </w:rPr>
        <w:t>en raison de</w:t>
      </w:r>
      <w:r w:rsidR="0097624D" w:rsidRPr="00FF16BD">
        <w:rPr>
          <w:rFonts w:ascii="Arial" w:hAnsi="Arial" w:cs="Arial"/>
          <w:sz w:val="24"/>
          <w:szCs w:val="24"/>
          <w:lang w:val="fr-FR"/>
        </w:rPr>
        <w:t xml:space="preserve"> </w:t>
      </w:r>
      <w:r w:rsidRPr="00FF16BD">
        <w:rPr>
          <w:rFonts w:ascii="Arial" w:hAnsi="Arial" w:cs="Arial"/>
          <w:sz w:val="24"/>
          <w:szCs w:val="24"/>
          <w:lang w:val="fr-FR"/>
        </w:rPr>
        <w:t>l’absence de recours en droit ivoirien contre les arrêts de rejet de la Cour suprême</w:t>
      </w:r>
      <w:r w:rsidR="0097624D" w:rsidRPr="00FF16BD">
        <w:rPr>
          <w:rFonts w:ascii="Arial" w:hAnsi="Arial" w:cs="Arial"/>
          <w:sz w:val="24"/>
          <w:szCs w:val="24"/>
          <w:lang w:val="fr-FR"/>
        </w:rPr>
        <w:t>.</w:t>
      </w:r>
    </w:p>
    <w:p w14:paraId="22DCFC4F" w14:textId="77777777" w:rsidR="00356A56" w:rsidRPr="00FF16BD" w:rsidRDefault="00356A56" w:rsidP="00917627">
      <w:pPr>
        <w:pStyle w:val="ListParagraph"/>
        <w:spacing w:line="360" w:lineRule="auto"/>
        <w:ind w:left="1080"/>
        <w:jc w:val="both"/>
        <w:rPr>
          <w:rFonts w:ascii="Arial" w:hAnsi="Arial" w:cs="Arial"/>
          <w:sz w:val="24"/>
          <w:szCs w:val="24"/>
          <w:lang w:val="fr-FR"/>
        </w:rPr>
      </w:pPr>
    </w:p>
    <w:p w14:paraId="12C828E9" w14:textId="408AA116" w:rsidR="00EC7564" w:rsidRPr="00FF16BD" w:rsidRDefault="00EC7564" w:rsidP="00365844">
      <w:pPr>
        <w:pStyle w:val="Heading1"/>
        <w:numPr>
          <w:ilvl w:val="0"/>
          <w:numId w:val="35"/>
        </w:numPr>
        <w:ind w:left="567" w:hanging="567"/>
        <w:jc w:val="left"/>
        <w:rPr>
          <w:sz w:val="24"/>
        </w:rPr>
      </w:pPr>
      <w:bookmarkStart w:id="5" w:name="_Toc509567805"/>
      <w:r w:rsidRPr="00FF16BD">
        <w:rPr>
          <w:sz w:val="24"/>
        </w:rPr>
        <w:t>RÉSUMÉ DE LA PROCÉDURE DEVANT LA COUR</w:t>
      </w:r>
      <w:bookmarkEnd w:id="5"/>
    </w:p>
    <w:p w14:paraId="23D62DB1" w14:textId="77777777" w:rsidR="00EC7564" w:rsidRPr="00FF16BD" w:rsidRDefault="00EC7564" w:rsidP="00917627">
      <w:pPr>
        <w:pStyle w:val="ListParagraph"/>
        <w:spacing w:line="360" w:lineRule="auto"/>
        <w:jc w:val="both"/>
        <w:rPr>
          <w:rFonts w:ascii="Arial" w:hAnsi="Arial" w:cs="Arial"/>
          <w:b/>
          <w:sz w:val="24"/>
          <w:szCs w:val="24"/>
          <w:lang w:val="fr-FR"/>
        </w:rPr>
      </w:pPr>
    </w:p>
    <w:p w14:paraId="03CCD6B0" w14:textId="5AB1DF9D" w:rsidR="00EC7564" w:rsidRPr="00FF16BD" w:rsidRDefault="00EC7564" w:rsidP="00C3520B">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Requête a été déposée au Greffe de la Cour le 11 juillet 2016. Par lettre en date du 19 juillet 2016, le Greffe </w:t>
      </w:r>
      <w:r w:rsidR="00C3520B" w:rsidRPr="00FF16BD">
        <w:rPr>
          <w:rFonts w:ascii="Arial" w:hAnsi="Arial" w:cs="Arial"/>
          <w:sz w:val="24"/>
          <w:szCs w:val="24"/>
          <w:lang w:val="fr-FR"/>
        </w:rPr>
        <w:t xml:space="preserve">en </w:t>
      </w:r>
      <w:r w:rsidRPr="00FF16BD">
        <w:rPr>
          <w:rFonts w:ascii="Arial" w:hAnsi="Arial" w:cs="Arial"/>
          <w:sz w:val="24"/>
          <w:szCs w:val="24"/>
          <w:lang w:val="fr-FR"/>
        </w:rPr>
        <w:t xml:space="preserve">a accusé réception et notifié le Requérant de son enregistrement. </w:t>
      </w:r>
    </w:p>
    <w:p w14:paraId="6454DF46" w14:textId="77777777" w:rsidR="00EC7564" w:rsidRPr="00FF16BD" w:rsidRDefault="00EC7564" w:rsidP="00917627">
      <w:pPr>
        <w:pStyle w:val="ListParagraph"/>
        <w:spacing w:line="360" w:lineRule="auto"/>
        <w:jc w:val="both"/>
        <w:rPr>
          <w:rFonts w:ascii="Arial" w:hAnsi="Arial" w:cs="Arial"/>
          <w:sz w:val="24"/>
          <w:szCs w:val="24"/>
          <w:lang w:val="fr-FR"/>
        </w:rPr>
      </w:pPr>
    </w:p>
    <w:p w14:paraId="27066942" w14:textId="2A4BFCEB" w:rsidR="00EC7564" w:rsidRPr="00FF16BD" w:rsidRDefault="00D77F0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Par lettre en date du</w:t>
      </w:r>
      <w:r w:rsidR="00EC7564" w:rsidRPr="00FF16BD">
        <w:rPr>
          <w:rFonts w:ascii="Arial" w:hAnsi="Arial" w:cs="Arial"/>
          <w:sz w:val="24"/>
          <w:szCs w:val="24"/>
          <w:lang w:val="fr-FR"/>
        </w:rPr>
        <w:t xml:space="preserve"> 29 septembre 2016, le Greffe a donné notification de la Requête à l’Etat défendeur et l’a invité à transmettre les noms de ses représentants ainsi que sa réponse dans les délais prévus </w:t>
      </w:r>
      <w:r w:rsidR="00C3520B" w:rsidRPr="00FF16BD">
        <w:rPr>
          <w:rFonts w:ascii="Arial" w:hAnsi="Arial" w:cs="Arial"/>
          <w:sz w:val="24"/>
          <w:szCs w:val="24"/>
          <w:lang w:val="fr-FR"/>
        </w:rPr>
        <w:t xml:space="preserve">par le </w:t>
      </w:r>
      <w:r w:rsidR="00EC7564" w:rsidRPr="00FF16BD">
        <w:rPr>
          <w:rFonts w:ascii="Arial" w:hAnsi="Arial" w:cs="Arial"/>
          <w:sz w:val="24"/>
          <w:szCs w:val="24"/>
          <w:lang w:val="fr-FR"/>
        </w:rPr>
        <w:t xml:space="preserve">Règlement. </w:t>
      </w:r>
    </w:p>
    <w:p w14:paraId="3C00C0E0" w14:textId="77777777" w:rsidR="00EC7564" w:rsidRPr="00FF16BD" w:rsidRDefault="00EC7564" w:rsidP="00917627">
      <w:pPr>
        <w:pStyle w:val="ListParagraph"/>
        <w:spacing w:line="360" w:lineRule="auto"/>
        <w:jc w:val="both"/>
        <w:rPr>
          <w:rFonts w:ascii="Arial" w:hAnsi="Arial" w:cs="Arial"/>
          <w:b/>
          <w:sz w:val="24"/>
          <w:szCs w:val="24"/>
          <w:lang w:val="fr-FR"/>
        </w:rPr>
      </w:pPr>
    </w:p>
    <w:p w14:paraId="03F41830" w14:textId="039FF18D" w:rsidR="00EC7564" w:rsidRPr="00FF16BD" w:rsidRDefault="00D77F0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lastRenderedPageBreak/>
        <w:t>Par correspondance en date du</w:t>
      </w:r>
      <w:r w:rsidR="00EC7564" w:rsidRPr="00FF16BD">
        <w:rPr>
          <w:rFonts w:ascii="Arial" w:hAnsi="Arial" w:cs="Arial"/>
          <w:sz w:val="24"/>
          <w:szCs w:val="24"/>
          <w:lang w:val="fr-FR"/>
        </w:rPr>
        <w:t xml:space="preserve"> 18 octobre 2016, l</w:t>
      </w:r>
      <w:r w:rsidR="006C0721" w:rsidRPr="00FF16BD">
        <w:rPr>
          <w:rFonts w:ascii="Arial" w:hAnsi="Arial" w:cs="Arial"/>
          <w:sz w:val="24"/>
          <w:szCs w:val="24"/>
          <w:lang w:val="fr-FR"/>
        </w:rPr>
        <w:t>e</w:t>
      </w:r>
      <w:r w:rsidR="00EC7564" w:rsidRPr="00FF16BD">
        <w:rPr>
          <w:rFonts w:ascii="Arial" w:hAnsi="Arial" w:cs="Arial"/>
          <w:sz w:val="24"/>
          <w:szCs w:val="24"/>
          <w:lang w:val="fr-FR"/>
        </w:rPr>
        <w:t xml:space="preserve"> </w:t>
      </w:r>
      <w:r w:rsidR="00C3520B" w:rsidRPr="00FF16BD">
        <w:rPr>
          <w:rFonts w:ascii="Arial" w:hAnsi="Arial" w:cs="Arial"/>
          <w:sz w:val="24"/>
          <w:szCs w:val="24"/>
          <w:lang w:val="fr-FR"/>
        </w:rPr>
        <w:t xml:space="preserve">Greffe a transmis la </w:t>
      </w:r>
      <w:r w:rsidR="00EC7564" w:rsidRPr="00FF16BD">
        <w:rPr>
          <w:rFonts w:ascii="Arial" w:hAnsi="Arial" w:cs="Arial"/>
          <w:sz w:val="24"/>
          <w:szCs w:val="24"/>
          <w:lang w:val="fr-FR"/>
        </w:rPr>
        <w:t xml:space="preserve">Requête aux autres entités mentionnées à l’article 35(3) du Règlement. </w:t>
      </w:r>
    </w:p>
    <w:p w14:paraId="46508F80" w14:textId="77777777" w:rsidR="00EC7564" w:rsidRPr="00FF16BD" w:rsidRDefault="00EC7564" w:rsidP="00917627">
      <w:pPr>
        <w:pStyle w:val="ListParagraph"/>
        <w:spacing w:line="360" w:lineRule="auto"/>
        <w:jc w:val="both"/>
        <w:rPr>
          <w:rFonts w:ascii="Arial" w:hAnsi="Arial" w:cs="Arial"/>
          <w:b/>
          <w:sz w:val="24"/>
          <w:szCs w:val="24"/>
          <w:lang w:val="fr-FR"/>
        </w:rPr>
      </w:pPr>
    </w:p>
    <w:p w14:paraId="1B9E05D5" w14:textId="736FDA8C" w:rsidR="00EC7564" w:rsidRPr="00FF16BD" w:rsidRDefault="00EC756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Le 3 janvier 2017, le Greffe a reçu la réponse de l’Etat défendeur </w:t>
      </w:r>
      <w:r w:rsidR="00C3520B" w:rsidRPr="00FF16BD">
        <w:rPr>
          <w:rFonts w:ascii="Arial" w:hAnsi="Arial" w:cs="Arial"/>
          <w:sz w:val="24"/>
          <w:szCs w:val="24"/>
          <w:lang w:val="fr-FR"/>
        </w:rPr>
        <w:t>qui a soulevé des exceptions d’irrecevabilité et</w:t>
      </w:r>
      <w:r w:rsidR="00A91455" w:rsidRPr="00FF16BD">
        <w:rPr>
          <w:rFonts w:ascii="Arial" w:hAnsi="Arial" w:cs="Arial"/>
          <w:sz w:val="24"/>
          <w:szCs w:val="24"/>
          <w:lang w:val="fr-FR"/>
        </w:rPr>
        <w:t xml:space="preserve"> </w:t>
      </w:r>
      <w:r w:rsidR="00C3520B" w:rsidRPr="00FF16BD">
        <w:rPr>
          <w:rFonts w:ascii="Arial" w:hAnsi="Arial" w:cs="Arial"/>
          <w:sz w:val="24"/>
          <w:szCs w:val="24"/>
          <w:lang w:val="fr-FR"/>
        </w:rPr>
        <w:t>demandé à la Cour</w:t>
      </w:r>
      <w:r w:rsidR="00A91455" w:rsidRPr="00FF16BD">
        <w:rPr>
          <w:rFonts w:ascii="Arial" w:hAnsi="Arial" w:cs="Arial"/>
          <w:sz w:val="24"/>
          <w:szCs w:val="24"/>
          <w:lang w:val="fr-FR"/>
        </w:rPr>
        <w:t xml:space="preserve">, subsidiairement, de déclarer la Requête </w:t>
      </w:r>
      <w:r w:rsidR="00A41723" w:rsidRPr="00FF16BD">
        <w:rPr>
          <w:rFonts w:ascii="Arial" w:hAnsi="Arial" w:cs="Arial"/>
          <w:sz w:val="24"/>
          <w:szCs w:val="24"/>
          <w:lang w:val="fr-FR"/>
        </w:rPr>
        <w:t>sans fondement</w:t>
      </w:r>
      <w:r w:rsidR="00A91455" w:rsidRPr="00FF16BD">
        <w:rPr>
          <w:rFonts w:ascii="Arial" w:hAnsi="Arial" w:cs="Arial"/>
          <w:sz w:val="24"/>
          <w:szCs w:val="24"/>
          <w:lang w:val="fr-FR"/>
        </w:rPr>
        <w:t xml:space="preserve">. Par lettre datée du 17 janvier 2017, le Greffe a </w:t>
      </w:r>
      <w:r w:rsidRPr="00FF16BD">
        <w:rPr>
          <w:rFonts w:ascii="Arial" w:hAnsi="Arial" w:cs="Arial"/>
          <w:sz w:val="24"/>
          <w:szCs w:val="24"/>
          <w:lang w:val="fr-FR"/>
        </w:rPr>
        <w:t xml:space="preserve">transmis </w:t>
      </w:r>
      <w:r w:rsidR="00A91455" w:rsidRPr="00FF16BD">
        <w:rPr>
          <w:rFonts w:ascii="Arial" w:hAnsi="Arial" w:cs="Arial"/>
          <w:sz w:val="24"/>
          <w:szCs w:val="24"/>
          <w:lang w:val="fr-FR"/>
        </w:rPr>
        <w:t>cette réponse au</w:t>
      </w:r>
      <w:r w:rsidRPr="00FF16BD">
        <w:rPr>
          <w:rFonts w:ascii="Arial" w:hAnsi="Arial" w:cs="Arial"/>
          <w:sz w:val="24"/>
          <w:szCs w:val="24"/>
          <w:lang w:val="fr-FR"/>
        </w:rPr>
        <w:t xml:space="preserve"> Requérant.</w:t>
      </w:r>
    </w:p>
    <w:p w14:paraId="1852782D" w14:textId="77777777" w:rsidR="00EC7564" w:rsidRPr="00FF16BD" w:rsidRDefault="00EC7564" w:rsidP="00917627">
      <w:pPr>
        <w:pStyle w:val="ListParagraph"/>
        <w:spacing w:line="360" w:lineRule="auto"/>
        <w:jc w:val="both"/>
        <w:rPr>
          <w:rFonts w:ascii="Arial" w:hAnsi="Arial" w:cs="Arial"/>
          <w:sz w:val="24"/>
          <w:szCs w:val="24"/>
          <w:lang w:val="fr-FR"/>
        </w:rPr>
      </w:pPr>
    </w:p>
    <w:p w14:paraId="2ED907E0" w14:textId="63442797" w:rsidR="00EC7564" w:rsidRPr="00FF16BD" w:rsidRDefault="00EC756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Le 16 février 2017, le Greffe a reçu la réplique du Requérant</w:t>
      </w:r>
      <w:r w:rsidR="00A41723" w:rsidRPr="00FF16BD">
        <w:rPr>
          <w:rFonts w:ascii="Arial" w:hAnsi="Arial" w:cs="Arial"/>
          <w:sz w:val="24"/>
          <w:szCs w:val="24"/>
          <w:lang w:val="fr-FR"/>
        </w:rPr>
        <w:t xml:space="preserve"> dont il a accusé réception</w:t>
      </w:r>
      <w:r w:rsidRPr="00FF16BD">
        <w:rPr>
          <w:rFonts w:ascii="Arial" w:hAnsi="Arial" w:cs="Arial"/>
          <w:sz w:val="24"/>
          <w:szCs w:val="24"/>
          <w:lang w:val="fr-FR"/>
        </w:rPr>
        <w:t xml:space="preserve"> </w:t>
      </w:r>
      <w:r w:rsidR="00A41723" w:rsidRPr="00FF16BD">
        <w:rPr>
          <w:rFonts w:ascii="Arial" w:hAnsi="Arial" w:cs="Arial"/>
          <w:sz w:val="24"/>
          <w:szCs w:val="24"/>
          <w:lang w:val="fr-FR"/>
        </w:rPr>
        <w:t xml:space="preserve">et transmis copie </w:t>
      </w:r>
      <w:r w:rsidRPr="00FF16BD">
        <w:rPr>
          <w:rFonts w:ascii="Arial" w:hAnsi="Arial" w:cs="Arial"/>
          <w:sz w:val="24"/>
          <w:szCs w:val="24"/>
          <w:lang w:val="fr-FR"/>
        </w:rPr>
        <w:t>à l’Etat défendeur</w:t>
      </w:r>
      <w:r w:rsidR="00A41723" w:rsidRPr="00FF16BD">
        <w:rPr>
          <w:rFonts w:ascii="Arial" w:hAnsi="Arial" w:cs="Arial"/>
          <w:sz w:val="24"/>
          <w:szCs w:val="24"/>
          <w:lang w:val="fr-FR"/>
        </w:rPr>
        <w:t>,</w:t>
      </w:r>
      <w:r w:rsidR="00A91455" w:rsidRPr="00FF16BD">
        <w:rPr>
          <w:rFonts w:ascii="Arial" w:hAnsi="Arial" w:cs="Arial"/>
          <w:sz w:val="24"/>
          <w:szCs w:val="24"/>
          <w:lang w:val="fr-FR"/>
        </w:rPr>
        <w:t xml:space="preserve"> </w:t>
      </w:r>
      <w:r w:rsidR="00A41723" w:rsidRPr="00FF16BD">
        <w:rPr>
          <w:rFonts w:ascii="Arial" w:hAnsi="Arial" w:cs="Arial"/>
          <w:sz w:val="24"/>
          <w:szCs w:val="24"/>
          <w:lang w:val="fr-FR"/>
        </w:rPr>
        <w:t xml:space="preserve">le 17 février 2017, </w:t>
      </w:r>
      <w:r w:rsidR="00A91455" w:rsidRPr="00FF16BD">
        <w:rPr>
          <w:rFonts w:ascii="Arial" w:hAnsi="Arial" w:cs="Arial"/>
          <w:sz w:val="24"/>
          <w:szCs w:val="24"/>
          <w:lang w:val="fr-FR"/>
        </w:rPr>
        <w:t>pour information.</w:t>
      </w:r>
      <w:r w:rsidRPr="00FF16BD">
        <w:rPr>
          <w:rFonts w:ascii="Arial" w:hAnsi="Arial" w:cs="Arial"/>
          <w:sz w:val="24"/>
          <w:szCs w:val="24"/>
          <w:lang w:val="fr-FR"/>
        </w:rPr>
        <w:t xml:space="preserve"> </w:t>
      </w:r>
    </w:p>
    <w:p w14:paraId="570FF8B0" w14:textId="77777777" w:rsidR="00EC7564" w:rsidRPr="00FF16BD" w:rsidRDefault="00EC7564" w:rsidP="00917627">
      <w:pPr>
        <w:pStyle w:val="ListParagraph"/>
        <w:spacing w:line="360" w:lineRule="auto"/>
        <w:jc w:val="both"/>
        <w:rPr>
          <w:rFonts w:ascii="Arial" w:hAnsi="Arial" w:cs="Arial"/>
          <w:sz w:val="24"/>
          <w:szCs w:val="24"/>
          <w:lang w:val="fr-FR"/>
        </w:rPr>
      </w:pPr>
    </w:p>
    <w:p w14:paraId="1AC44963" w14:textId="3F3D6293" w:rsidR="00EC7564" w:rsidRPr="00FF16BD" w:rsidRDefault="00EC756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Lors de sa 44</w:t>
      </w:r>
      <w:r w:rsidRPr="00FF16BD">
        <w:rPr>
          <w:rFonts w:ascii="Arial" w:hAnsi="Arial" w:cs="Arial"/>
          <w:sz w:val="24"/>
          <w:szCs w:val="24"/>
          <w:vertAlign w:val="superscript"/>
          <w:lang w:val="fr-FR"/>
        </w:rPr>
        <w:t>e</w:t>
      </w:r>
      <w:r w:rsidRPr="00FF16BD">
        <w:rPr>
          <w:rFonts w:ascii="Arial" w:hAnsi="Arial" w:cs="Arial"/>
          <w:sz w:val="24"/>
          <w:szCs w:val="24"/>
          <w:lang w:val="fr-FR"/>
        </w:rPr>
        <w:t xml:space="preserve"> Session ordinaire tenue au mois de mars 2017, la Cour a décidé de clore les débats</w:t>
      </w:r>
      <w:r w:rsidR="00A91455" w:rsidRPr="00FF16BD">
        <w:rPr>
          <w:rFonts w:ascii="Arial" w:hAnsi="Arial" w:cs="Arial"/>
          <w:sz w:val="24"/>
          <w:szCs w:val="24"/>
          <w:lang w:val="fr-FR"/>
        </w:rPr>
        <w:t xml:space="preserve">. Par correspondance en date du </w:t>
      </w:r>
      <w:r w:rsidR="00382E75" w:rsidRPr="00FF16BD">
        <w:rPr>
          <w:rFonts w:ascii="Arial" w:hAnsi="Arial" w:cs="Arial"/>
          <w:sz w:val="24"/>
          <w:szCs w:val="24"/>
          <w:lang w:val="fr-FR"/>
        </w:rPr>
        <w:t>3 avril 2017</w:t>
      </w:r>
      <w:r w:rsidR="00A91455" w:rsidRPr="00FF16BD">
        <w:rPr>
          <w:rFonts w:ascii="Arial" w:hAnsi="Arial" w:cs="Arial"/>
          <w:sz w:val="24"/>
          <w:szCs w:val="24"/>
          <w:lang w:val="fr-FR"/>
        </w:rPr>
        <w:t xml:space="preserve">, le Greffe a informé les </w:t>
      </w:r>
      <w:r w:rsidR="00494A89" w:rsidRPr="00FF16BD">
        <w:rPr>
          <w:rFonts w:ascii="Arial" w:hAnsi="Arial" w:cs="Arial"/>
          <w:sz w:val="24"/>
          <w:szCs w:val="24"/>
          <w:lang w:val="fr-FR"/>
        </w:rPr>
        <w:t>P</w:t>
      </w:r>
      <w:r w:rsidR="00A91455" w:rsidRPr="00FF16BD">
        <w:rPr>
          <w:rFonts w:ascii="Arial" w:hAnsi="Arial" w:cs="Arial"/>
          <w:sz w:val="24"/>
          <w:szCs w:val="24"/>
          <w:lang w:val="fr-FR"/>
        </w:rPr>
        <w:t>arties de la clôture des débats à</w:t>
      </w:r>
      <w:r w:rsidR="000260B6" w:rsidRPr="00FF16BD">
        <w:rPr>
          <w:rFonts w:ascii="Arial" w:hAnsi="Arial" w:cs="Arial"/>
          <w:sz w:val="24"/>
          <w:szCs w:val="24"/>
          <w:lang w:val="fr-FR"/>
        </w:rPr>
        <w:t xml:space="preserve"> compter </w:t>
      </w:r>
      <w:r w:rsidR="00753022" w:rsidRPr="00FF16BD">
        <w:rPr>
          <w:rFonts w:ascii="Arial" w:hAnsi="Arial" w:cs="Arial"/>
          <w:sz w:val="24"/>
          <w:szCs w:val="24"/>
          <w:lang w:val="fr-FR"/>
        </w:rPr>
        <w:t>de la même date</w:t>
      </w:r>
      <w:r w:rsidRPr="00FF16BD">
        <w:rPr>
          <w:rFonts w:ascii="Arial" w:hAnsi="Arial" w:cs="Arial"/>
          <w:sz w:val="24"/>
          <w:szCs w:val="24"/>
          <w:lang w:val="fr-FR"/>
        </w:rPr>
        <w:t xml:space="preserve">. </w:t>
      </w:r>
    </w:p>
    <w:p w14:paraId="7203595D" w14:textId="77777777" w:rsidR="00356A56" w:rsidRPr="00FF16BD" w:rsidRDefault="00356A56" w:rsidP="00917627">
      <w:pPr>
        <w:pStyle w:val="ListParagraph"/>
        <w:spacing w:line="360" w:lineRule="auto"/>
        <w:ind w:left="1080"/>
        <w:jc w:val="both"/>
        <w:rPr>
          <w:rFonts w:ascii="Arial" w:hAnsi="Arial" w:cs="Arial"/>
          <w:sz w:val="24"/>
          <w:szCs w:val="24"/>
          <w:lang w:val="fr-FR"/>
        </w:rPr>
      </w:pPr>
    </w:p>
    <w:p w14:paraId="058835DB" w14:textId="2023E610" w:rsidR="00AE2267" w:rsidRPr="00FF16BD" w:rsidRDefault="00AE2267" w:rsidP="00534D7D">
      <w:pPr>
        <w:pStyle w:val="Heading1"/>
        <w:numPr>
          <w:ilvl w:val="0"/>
          <w:numId w:val="35"/>
        </w:numPr>
        <w:ind w:left="567" w:hanging="567"/>
        <w:jc w:val="left"/>
        <w:rPr>
          <w:sz w:val="24"/>
        </w:rPr>
      </w:pPr>
      <w:bookmarkStart w:id="6" w:name="_Toc509567806"/>
      <w:r w:rsidRPr="00FF16BD">
        <w:rPr>
          <w:sz w:val="24"/>
        </w:rPr>
        <w:t>DEMANDES DES PARTIES</w:t>
      </w:r>
      <w:bookmarkEnd w:id="6"/>
      <w:r w:rsidRPr="00FF16BD">
        <w:rPr>
          <w:sz w:val="24"/>
        </w:rPr>
        <w:t xml:space="preserve"> </w:t>
      </w:r>
    </w:p>
    <w:p w14:paraId="5586C9C8" w14:textId="77777777" w:rsidR="00AE2267" w:rsidRPr="00FF16BD" w:rsidRDefault="00AE2267" w:rsidP="00917627">
      <w:pPr>
        <w:pStyle w:val="ListParagraph"/>
        <w:spacing w:line="360" w:lineRule="auto"/>
        <w:ind w:left="1080"/>
        <w:rPr>
          <w:rFonts w:ascii="Arial" w:hAnsi="Arial" w:cs="Arial"/>
          <w:b/>
          <w:sz w:val="24"/>
          <w:szCs w:val="24"/>
          <w:lang w:val="fr-FR"/>
        </w:rPr>
      </w:pPr>
    </w:p>
    <w:p w14:paraId="2EF7D27A" w14:textId="77777777" w:rsidR="00272B9C" w:rsidRPr="00FF16BD" w:rsidRDefault="001628F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Le Requérant demande </w:t>
      </w:r>
      <w:r w:rsidR="00DB65F5" w:rsidRPr="00FF16BD">
        <w:rPr>
          <w:rFonts w:ascii="Arial" w:hAnsi="Arial" w:cs="Arial"/>
          <w:sz w:val="24"/>
          <w:szCs w:val="24"/>
          <w:lang w:val="fr-FR"/>
        </w:rPr>
        <w:t xml:space="preserve">à la Cour de : </w:t>
      </w:r>
    </w:p>
    <w:p w14:paraId="74525D78" w14:textId="77777777" w:rsidR="00EC7564" w:rsidRPr="00FF16BD" w:rsidRDefault="00EC7564" w:rsidP="00917627">
      <w:pPr>
        <w:pStyle w:val="ListParagraph"/>
        <w:spacing w:line="360" w:lineRule="auto"/>
        <w:ind w:left="360"/>
        <w:jc w:val="both"/>
        <w:rPr>
          <w:rFonts w:ascii="Arial" w:hAnsi="Arial" w:cs="Arial"/>
          <w:sz w:val="24"/>
          <w:szCs w:val="24"/>
          <w:lang w:val="fr-FR"/>
        </w:rPr>
      </w:pPr>
    </w:p>
    <w:p w14:paraId="16D8CBEB" w14:textId="77777777" w:rsidR="004D3942" w:rsidRPr="00FF16BD" w:rsidRDefault="00EC7564" w:rsidP="00917627">
      <w:pPr>
        <w:pStyle w:val="ListParagraph"/>
        <w:spacing w:line="360" w:lineRule="auto"/>
        <w:ind w:left="360"/>
        <w:jc w:val="both"/>
        <w:rPr>
          <w:rFonts w:ascii="Arial" w:hAnsi="Arial" w:cs="Arial"/>
          <w:sz w:val="24"/>
          <w:szCs w:val="24"/>
          <w:lang w:val="fr-FR"/>
        </w:rPr>
      </w:pPr>
      <w:r w:rsidRPr="00FF16BD">
        <w:rPr>
          <w:rFonts w:ascii="Arial" w:hAnsi="Arial" w:cs="Arial"/>
          <w:sz w:val="24"/>
          <w:szCs w:val="24"/>
          <w:lang w:val="fr-FR"/>
        </w:rPr>
        <w:t>« </w:t>
      </w:r>
    </w:p>
    <w:p w14:paraId="1613ABA6" w14:textId="77777777" w:rsidR="00AA6E91" w:rsidRPr="00FF16BD" w:rsidRDefault="004D3942"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t>Se déclarer compétente pour connaître de sa demande</w:t>
      </w:r>
      <w:r w:rsidR="00AA6E91" w:rsidRPr="00FF16BD">
        <w:rPr>
          <w:rFonts w:ascii="Arial" w:hAnsi="Arial" w:cs="Arial"/>
          <w:sz w:val="24"/>
          <w:szCs w:val="24"/>
          <w:lang w:val="fr-FR"/>
        </w:rPr>
        <w:t> ;</w:t>
      </w:r>
    </w:p>
    <w:p w14:paraId="0BACB867" w14:textId="77777777" w:rsidR="00B406AA" w:rsidRPr="00FF16BD" w:rsidRDefault="004D3942"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t>Dire que sa requête est recevable ;</w:t>
      </w:r>
    </w:p>
    <w:p w14:paraId="7C2B0AA0" w14:textId="77777777" w:rsidR="00AA6E91" w:rsidRPr="00FF16BD" w:rsidRDefault="004D3942"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t>Constater qu’il est propriétaire de la Société AGRILAND dont il détient quatre-vingt-quinze pour cent (95%) du capital social ;</w:t>
      </w:r>
    </w:p>
    <w:p w14:paraId="1A4399B5" w14:textId="77777777" w:rsidR="00AA6E91" w:rsidRPr="00FF16BD" w:rsidRDefault="004D3942"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t>Juger que les violations des droits de l’homme frappant la Société AGRILAND le concernent directement ;</w:t>
      </w:r>
    </w:p>
    <w:p w14:paraId="2E6C78B7" w14:textId="77777777" w:rsidR="00AA6E91" w:rsidRPr="00FF16BD" w:rsidRDefault="00CD32C3"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t xml:space="preserve"> </w:t>
      </w:r>
      <w:r w:rsidR="004D3942" w:rsidRPr="00FF16BD">
        <w:rPr>
          <w:rFonts w:ascii="Arial" w:hAnsi="Arial" w:cs="Arial"/>
          <w:sz w:val="24"/>
          <w:szCs w:val="24"/>
          <w:lang w:val="fr-FR"/>
        </w:rPr>
        <w:t>Constater que sa Société et lui ont été victimes de violations de leurs droits de l’homme par la justice ivoirienne ;</w:t>
      </w:r>
    </w:p>
    <w:p w14:paraId="125FD4A8" w14:textId="77777777" w:rsidR="00AA6E91" w:rsidRPr="00FF16BD" w:rsidRDefault="004D3942"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t>Déclarer l’Etat responsable desdites violations ;</w:t>
      </w:r>
    </w:p>
    <w:p w14:paraId="016DF226" w14:textId="77777777" w:rsidR="00AA6E91" w:rsidRPr="00FF16BD" w:rsidRDefault="004D3942"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t>Condamner l’Etat à lui payer la somme de Dix Milliards de Francs CFA (10.000.000.000 FCFA) au titre de dommages-intérêts ;</w:t>
      </w:r>
    </w:p>
    <w:p w14:paraId="71EF495C" w14:textId="2A025C61" w:rsidR="00B406AA" w:rsidRPr="00FF16BD" w:rsidRDefault="00303F69" w:rsidP="00917627">
      <w:pPr>
        <w:pStyle w:val="ListParagraph"/>
        <w:numPr>
          <w:ilvl w:val="0"/>
          <w:numId w:val="24"/>
        </w:numPr>
        <w:spacing w:line="360" w:lineRule="auto"/>
        <w:jc w:val="both"/>
        <w:rPr>
          <w:rFonts w:ascii="Arial" w:hAnsi="Arial" w:cs="Arial"/>
          <w:sz w:val="24"/>
          <w:szCs w:val="24"/>
          <w:lang w:val="fr-FR"/>
        </w:rPr>
      </w:pPr>
      <w:r w:rsidRPr="00FF16BD">
        <w:rPr>
          <w:rFonts w:ascii="Arial" w:hAnsi="Arial" w:cs="Arial"/>
          <w:sz w:val="24"/>
          <w:szCs w:val="24"/>
          <w:lang w:val="fr-FR"/>
        </w:rPr>
        <w:lastRenderedPageBreak/>
        <w:t xml:space="preserve"> </w:t>
      </w:r>
      <w:r w:rsidR="004D3942" w:rsidRPr="00FF16BD">
        <w:rPr>
          <w:rFonts w:ascii="Arial" w:hAnsi="Arial" w:cs="Arial"/>
          <w:sz w:val="24"/>
          <w:szCs w:val="24"/>
          <w:lang w:val="fr-FR"/>
        </w:rPr>
        <w:t xml:space="preserve">Condamner l’Etat aux entiers dépens de l’instance dont distraction au profit de Maître </w:t>
      </w:r>
      <w:proofErr w:type="spellStart"/>
      <w:r w:rsidR="00A91455" w:rsidRPr="00FF16BD">
        <w:rPr>
          <w:rFonts w:ascii="Arial" w:hAnsi="Arial" w:cs="Arial"/>
          <w:sz w:val="24"/>
          <w:szCs w:val="24"/>
          <w:lang w:val="fr-FR"/>
        </w:rPr>
        <w:t>S</w:t>
      </w:r>
      <w:r w:rsidR="00022C9F" w:rsidRPr="00FF16BD">
        <w:rPr>
          <w:rFonts w:ascii="Arial" w:hAnsi="Arial" w:cs="Arial"/>
          <w:sz w:val="24"/>
          <w:szCs w:val="24"/>
          <w:lang w:val="fr-FR"/>
        </w:rPr>
        <w:t>onté</w:t>
      </w:r>
      <w:proofErr w:type="spellEnd"/>
      <w:r w:rsidR="00A91455" w:rsidRPr="00FF16BD">
        <w:rPr>
          <w:rFonts w:ascii="Arial" w:hAnsi="Arial" w:cs="Arial"/>
          <w:sz w:val="24"/>
          <w:szCs w:val="24"/>
          <w:lang w:val="fr-FR"/>
        </w:rPr>
        <w:t xml:space="preserve"> </w:t>
      </w:r>
      <w:r w:rsidR="004D3942" w:rsidRPr="00FF16BD">
        <w:rPr>
          <w:rFonts w:ascii="Arial" w:hAnsi="Arial" w:cs="Arial"/>
          <w:sz w:val="24"/>
          <w:szCs w:val="24"/>
          <w:lang w:val="fr-FR"/>
        </w:rPr>
        <w:t>Emile, Avocat à la Cour, aux offres de droit</w:t>
      </w:r>
      <w:r w:rsidR="00EC7564" w:rsidRPr="00FF16BD">
        <w:rPr>
          <w:rFonts w:ascii="Arial" w:hAnsi="Arial" w:cs="Arial"/>
          <w:sz w:val="24"/>
          <w:szCs w:val="24"/>
          <w:lang w:val="fr-FR"/>
        </w:rPr>
        <w:t> »</w:t>
      </w:r>
      <w:r w:rsidR="00AC2C04" w:rsidRPr="00FF16BD">
        <w:rPr>
          <w:rFonts w:ascii="Arial" w:hAnsi="Arial" w:cs="Arial"/>
          <w:sz w:val="24"/>
          <w:szCs w:val="24"/>
          <w:lang w:val="fr-FR"/>
        </w:rPr>
        <w:t>.</w:t>
      </w:r>
      <w:r w:rsidR="004D3942" w:rsidRPr="00FF16BD">
        <w:rPr>
          <w:rFonts w:ascii="Arial" w:hAnsi="Arial" w:cs="Arial"/>
          <w:sz w:val="24"/>
          <w:szCs w:val="24"/>
          <w:lang w:val="fr-FR"/>
        </w:rPr>
        <w:t xml:space="preserve"> </w:t>
      </w:r>
    </w:p>
    <w:p w14:paraId="03DE390D" w14:textId="77777777" w:rsidR="00B406AA" w:rsidRPr="00FF16BD" w:rsidRDefault="00B406AA" w:rsidP="00917627">
      <w:pPr>
        <w:pStyle w:val="ListParagraph"/>
        <w:spacing w:line="360" w:lineRule="auto"/>
        <w:ind w:left="1080"/>
        <w:jc w:val="both"/>
        <w:rPr>
          <w:rFonts w:ascii="Arial" w:hAnsi="Arial" w:cs="Arial"/>
          <w:sz w:val="24"/>
          <w:szCs w:val="24"/>
          <w:lang w:val="fr-FR"/>
        </w:rPr>
      </w:pPr>
    </w:p>
    <w:p w14:paraId="7F3F52A7" w14:textId="77777777" w:rsidR="00B406AA" w:rsidRPr="00FF16BD" w:rsidRDefault="00B406AA"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Dans son mémoire en défense, l’</w:t>
      </w:r>
      <w:r w:rsidR="00917627" w:rsidRPr="00FF16BD">
        <w:rPr>
          <w:rFonts w:ascii="Arial" w:hAnsi="Arial" w:cs="Arial"/>
          <w:sz w:val="24"/>
          <w:szCs w:val="24"/>
          <w:lang w:val="fr-FR"/>
        </w:rPr>
        <w:t>État</w:t>
      </w:r>
      <w:r w:rsidRPr="00FF16BD">
        <w:rPr>
          <w:rFonts w:ascii="Arial" w:hAnsi="Arial" w:cs="Arial"/>
          <w:sz w:val="24"/>
          <w:szCs w:val="24"/>
          <w:lang w:val="fr-FR"/>
        </w:rPr>
        <w:t xml:space="preserve"> d</w:t>
      </w:r>
      <w:r w:rsidR="00F92584" w:rsidRPr="00FF16BD">
        <w:rPr>
          <w:rFonts w:ascii="Arial" w:hAnsi="Arial" w:cs="Arial"/>
          <w:sz w:val="24"/>
          <w:szCs w:val="24"/>
          <w:lang w:val="fr-FR"/>
        </w:rPr>
        <w:t xml:space="preserve">éfendeur </w:t>
      </w:r>
      <w:r w:rsidRPr="00FF16BD">
        <w:rPr>
          <w:rFonts w:ascii="Arial" w:hAnsi="Arial" w:cs="Arial"/>
          <w:sz w:val="24"/>
          <w:szCs w:val="24"/>
          <w:lang w:val="fr-FR"/>
        </w:rPr>
        <w:t xml:space="preserve">demande à la Cour de : </w:t>
      </w:r>
    </w:p>
    <w:p w14:paraId="7399A761" w14:textId="77777777" w:rsidR="00B406AA" w:rsidRPr="00FF16BD" w:rsidRDefault="00EC7564" w:rsidP="00917627">
      <w:pPr>
        <w:pStyle w:val="ListParagraph"/>
        <w:spacing w:line="360" w:lineRule="auto"/>
        <w:ind w:left="360"/>
        <w:jc w:val="both"/>
        <w:rPr>
          <w:rFonts w:ascii="Arial" w:hAnsi="Arial" w:cs="Arial"/>
          <w:sz w:val="24"/>
          <w:szCs w:val="24"/>
          <w:lang w:val="fr-FR"/>
        </w:rPr>
      </w:pPr>
      <w:r w:rsidRPr="00FF16BD">
        <w:rPr>
          <w:rFonts w:ascii="Arial" w:hAnsi="Arial" w:cs="Arial"/>
          <w:sz w:val="24"/>
          <w:szCs w:val="24"/>
          <w:lang w:val="fr-FR"/>
        </w:rPr>
        <w:t>« </w:t>
      </w:r>
    </w:p>
    <w:p w14:paraId="68B7247B" w14:textId="77777777" w:rsidR="00B92653" w:rsidRPr="00FF16BD" w:rsidRDefault="00B92653" w:rsidP="00917627">
      <w:pPr>
        <w:pStyle w:val="ListParagraph"/>
        <w:numPr>
          <w:ilvl w:val="0"/>
          <w:numId w:val="23"/>
        </w:numPr>
        <w:spacing w:line="360" w:lineRule="auto"/>
        <w:jc w:val="both"/>
        <w:rPr>
          <w:rFonts w:ascii="Arial" w:hAnsi="Arial" w:cs="Arial"/>
          <w:sz w:val="24"/>
          <w:szCs w:val="24"/>
          <w:lang w:val="fr-FR"/>
        </w:rPr>
      </w:pPr>
      <w:r w:rsidRPr="00FF16BD">
        <w:rPr>
          <w:rFonts w:ascii="Arial" w:hAnsi="Arial" w:cs="Arial"/>
          <w:sz w:val="24"/>
          <w:szCs w:val="24"/>
          <w:lang w:val="fr-FR"/>
        </w:rPr>
        <w:t>Déclarer la Requête irrecevable ;</w:t>
      </w:r>
    </w:p>
    <w:p w14:paraId="54FF606B" w14:textId="77777777" w:rsidR="00B92653" w:rsidRPr="00FF16BD" w:rsidRDefault="00B92653" w:rsidP="00917627">
      <w:pPr>
        <w:pStyle w:val="ListParagraph"/>
        <w:numPr>
          <w:ilvl w:val="0"/>
          <w:numId w:val="23"/>
        </w:numPr>
        <w:spacing w:line="360" w:lineRule="auto"/>
        <w:jc w:val="both"/>
        <w:rPr>
          <w:rFonts w:ascii="Arial" w:hAnsi="Arial" w:cs="Arial"/>
          <w:sz w:val="24"/>
          <w:szCs w:val="24"/>
          <w:lang w:val="fr-FR"/>
        </w:rPr>
      </w:pPr>
      <w:r w:rsidRPr="00FF16BD">
        <w:rPr>
          <w:rFonts w:ascii="Arial" w:hAnsi="Arial" w:cs="Arial"/>
          <w:sz w:val="24"/>
          <w:szCs w:val="24"/>
          <w:lang w:val="fr-FR"/>
        </w:rPr>
        <w:t xml:space="preserve">Dire le Requérant mal fondé ; </w:t>
      </w:r>
    </w:p>
    <w:p w14:paraId="6422CBA0" w14:textId="77777777" w:rsidR="00B92653" w:rsidRPr="00FF16BD" w:rsidRDefault="00B92653" w:rsidP="00917627">
      <w:pPr>
        <w:pStyle w:val="ListParagraph"/>
        <w:numPr>
          <w:ilvl w:val="0"/>
          <w:numId w:val="23"/>
        </w:numPr>
        <w:spacing w:line="360" w:lineRule="auto"/>
        <w:jc w:val="both"/>
        <w:rPr>
          <w:rFonts w:ascii="Arial" w:hAnsi="Arial" w:cs="Arial"/>
          <w:sz w:val="24"/>
          <w:szCs w:val="24"/>
          <w:lang w:val="fr-FR"/>
        </w:rPr>
      </w:pPr>
      <w:r w:rsidRPr="00FF16BD">
        <w:rPr>
          <w:rFonts w:ascii="Arial" w:hAnsi="Arial" w:cs="Arial"/>
          <w:sz w:val="24"/>
          <w:szCs w:val="24"/>
          <w:lang w:val="fr-FR"/>
        </w:rPr>
        <w:t xml:space="preserve">Dire et juger qu’il n’y a eu aucune violation des droits de l’homme par l’Etat défendeur ; </w:t>
      </w:r>
    </w:p>
    <w:p w14:paraId="25EAA267" w14:textId="77777777" w:rsidR="00B92653" w:rsidRPr="00FF16BD" w:rsidRDefault="00B92653" w:rsidP="00917627">
      <w:pPr>
        <w:pStyle w:val="ListParagraph"/>
        <w:numPr>
          <w:ilvl w:val="0"/>
          <w:numId w:val="23"/>
        </w:numPr>
        <w:spacing w:line="360" w:lineRule="auto"/>
        <w:jc w:val="both"/>
        <w:rPr>
          <w:rFonts w:ascii="Arial" w:hAnsi="Arial" w:cs="Arial"/>
          <w:sz w:val="24"/>
          <w:szCs w:val="24"/>
          <w:lang w:val="fr-FR"/>
        </w:rPr>
      </w:pPr>
      <w:r w:rsidRPr="00FF16BD">
        <w:rPr>
          <w:rFonts w:ascii="Arial" w:hAnsi="Arial" w:cs="Arial"/>
          <w:sz w:val="24"/>
          <w:szCs w:val="24"/>
          <w:lang w:val="fr-FR"/>
        </w:rPr>
        <w:t xml:space="preserve">Débouter le Requérant de sa demande en paiement de dommages-intérêts ; </w:t>
      </w:r>
    </w:p>
    <w:p w14:paraId="356504C3" w14:textId="77777777" w:rsidR="00B92653" w:rsidRPr="00FF16BD" w:rsidRDefault="00B92653" w:rsidP="00917627">
      <w:pPr>
        <w:pStyle w:val="ListParagraph"/>
        <w:numPr>
          <w:ilvl w:val="0"/>
          <w:numId w:val="23"/>
        </w:numPr>
        <w:spacing w:line="360" w:lineRule="auto"/>
        <w:jc w:val="both"/>
        <w:rPr>
          <w:rFonts w:ascii="Arial" w:hAnsi="Arial" w:cs="Arial"/>
          <w:sz w:val="24"/>
          <w:szCs w:val="24"/>
          <w:lang w:val="fr-FR"/>
        </w:rPr>
      </w:pPr>
      <w:r w:rsidRPr="00FF16BD">
        <w:rPr>
          <w:rFonts w:ascii="Arial" w:hAnsi="Arial" w:cs="Arial"/>
          <w:sz w:val="24"/>
          <w:szCs w:val="24"/>
          <w:lang w:val="fr-FR"/>
        </w:rPr>
        <w:t>Condamner le Requérant aux entiers dépens de l’instance</w:t>
      </w:r>
      <w:r w:rsidR="00EC7564" w:rsidRPr="00FF16BD">
        <w:rPr>
          <w:rFonts w:ascii="Arial" w:hAnsi="Arial" w:cs="Arial"/>
          <w:sz w:val="24"/>
          <w:szCs w:val="24"/>
          <w:lang w:val="fr-FR"/>
        </w:rPr>
        <w:t> »</w:t>
      </w:r>
      <w:r w:rsidR="00AC2C04" w:rsidRPr="00FF16BD">
        <w:rPr>
          <w:rFonts w:ascii="Arial" w:hAnsi="Arial" w:cs="Arial"/>
          <w:sz w:val="24"/>
          <w:szCs w:val="24"/>
          <w:lang w:val="fr-FR"/>
        </w:rPr>
        <w:t>.</w:t>
      </w:r>
      <w:r w:rsidRPr="00FF16BD">
        <w:rPr>
          <w:rFonts w:ascii="Arial" w:hAnsi="Arial" w:cs="Arial"/>
          <w:sz w:val="24"/>
          <w:szCs w:val="24"/>
          <w:lang w:val="fr-FR"/>
        </w:rPr>
        <w:t xml:space="preserve"> </w:t>
      </w:r>
    </w:p>
    <w:p w14:paraId="7F748148" w14:textId="77777777" w:rsidR="007F128B" w:rsidRPr="00FF16BD" w:rsidRDefault="007F128B" w:rsidP="00917627">
      <w:pPr>
        <w:pStyle w:val="ListParagraph"/>
        <w:spacing w:line="360" w:lineRule="auto"/>
        <w:ind w:left="1080"/>
        <w:jc w:val="both"/>
        <w:rPr>
          <w:rFonts w:ascii="Arial" w:hAnsi="Arial" w:cs="Arial"/>
          <w:szCs w:val="24"/>
          <w:lang w:val="fr-FR"/>
        </w:rPr>
      </w:pPr>
    </w:p>
    <w:p w14:paraId="4DC4F983" w14:textId="64B6EF11" w:rsidR="00553B6A" w:rsidRPr="00FF16BD" w:rsidRDefault="00A91455" w:rsidP="00534D7D">
      <w:pPr>
        <w:pStyle w:val="Heading1"/>
        <w:numPr>
          <w:ilvl w:val="0"/>
          <w:numId w:val="35"/>
        </w:numPr>
        <w:ind w:left="567" w:hanging="567"/>
        <w:jc w:val="left"/>
        <w:rPr>
          <w:sz w:val="24"/>
        </w:rPr>
      </w:pPr>
      <w:bookmarkStart w:id="7" w:name="_Toc509567807"/>
      <w:r w:rsidRPr="00FF16BD">
        <w:rPr>
          <w:sz w:val="24"/>
        </w:rPr>
        <w:t xml:space="preserve">SUR LA </w:t>
      </w:r>
      <w:r w:rsidR="00553B6A" w:rsidRPr="00FF16BD">
        <w:rPr>
          <w:sz w:val="24"/>
        </w:rPr>
        <w:t>COMP</w:t>
      </w:r>
      <w:r w:rsidR="008024A7" w:rsidRPr="00FF16BD">
        <w:rPr>
          <w:sz w:val="24"/>
        </w:rPr>
        <w:t>É</w:t>
      </w:r>
      <w:r w:rsidR="00553B6A" w:rsidRPr="00FF16BD">
        <w:rPr>
          <w:sz w:val="24"/>
        </w:rPr>
        <w:t>TENCE</w:t>
      </w:r>
      <w:bookmarkEnd w:id="7"/>
      <w:r w:rsidR="00553B6A" w:rsidRPr="00FF16BD">
        <w:rPr>
          <w:sz w:val="24"/>
        </w:rPr>
        <w:t xml:space="preserve"> </w:t>
      </w:r>
    </w:p>
    <w:p w14:paraId="18A4FE25" w14:textId="77777777" w:rsidR="00553B6A" w:rsidRPr="00FF16BD" w:rsidRDefault="00553B6A" w:rsidP="00917627">
      <w:pPr>
        <w:pStyle w:val="ListParagraph"/>
        <w:spacing w:line="360" w:lineRule="auto"/>
        <w:ind w:left="1080"/>
        <w:jc w:val="both"/>
        <w:rPr>
          <w:rFonts w:ascii="Arial" w:hAnsi="Arial" w:cs="Arial"/>
          <w:sz w:val="24"/>
          <w:szCs w:val="24"/>
          <w:lang w:val="fr-FR"/>
        </w:rPr>
      </w:pPr>
    </w:p>
    <w:p w14:paraId="0CB685F8" w14:textId="3749F283" w:rsidR="00737B55" w:rsidRPr="00FF16BD" w:rsidRDefault="00E94D6B"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Aux termes de l’article 39</w:t>
      </w:r>
      <w:r w:rsidR="00A41723" w:rsidRPr="00FF16BD">
        <w:rPr>
          <w:rFonts w:ascii="Arial" w:hAnsi="Arial" w:cs="Arial"/>
          <w:sz w:val="24"/>
          <w:szCs w:val="24"/>
          <w:lang w:val="fr-FR"/>
        </w:rPr>
        <w:t>(1)</w:t>
      </w:r>
      <w:r w:rsidRPr="00FF16BD">
        <w:rPr>
          <w:rFonts w:ascii="Arial" w:hAnsi="Arial" w:cs="Arial"/>
          <w:sz w:val="24"/>
          <w:szCs w:val="24"/>
          <w:lang w:val="fr-FR"/>
        </w:rPr>
        <w:t xml:space="preserve"> de son Règlement, la Cour </w:t>
      </w:r>
      <w:r w:rsidR="000E5DBC" w:rsidRPr="00FF16BD">
        <w:rPr>
          <w:rFonts w:ascii="Arial" w:hAnsi="Arial" w:cs="Arial"/>
          <w:sz w:val="24"/>
          <w:szCs w:val="24"/>
          <w:lang w:val="fr-FR"/>
        </w:rPr>
        <w:t>« procède à un examen préliminaire de sa compétence ».</w:t>
      </w:r>
      <w:r w:rsidR="007D5DC2" w:rsidRPr="00FF16BD">
        <w:rPr>
          <w:rFonts w:ascii="Arial" w:hAnsi="Arial" w:cs="Arial"/>
          <w:sz w:val="24"/>
          <w:szCs w:val="24"/>
          <w:lang w:val="fr-FR"/>
        </w:rPr>
        <w:t xml:space="preserve"> La Cour doit par conséquent s’assurer que sa compétence pour connaître de la présente Requête est établie </w:t>
      </w:r>
      <w:r w:rsidR="00494A89" w:rsidRPr="00FF16BD">
        <w:rPr>
          <w:rFonts w:ascii="Arial" w:hAnsi="Arial" w:cs="Arial"/>
          <w:sz w:val="24"/>
          <w:szCs w:val="24"/>
          <w:lang w:val="fr-FR"/>
        </w:rPr>
        <w:t>sur les plans</w:t>
      </w:r>
      <w:r w:rsidR="00303F69" w:rsidRPr="00FF16BD">
        <w:rPr>
          <w:rFonts w:ascii="Arial" w:hAnsi="Arial" w:cs="Arial"/>
          <w:sz w:val="24"/>
          <w:szCs w:val="24"/>
          <w:lang w:val="fr-FR"/>
        </w:rPr>
        <w:t xml:space="preserve"> personnel, matériel, temporel et territorial</w:t>
      </w:r>
      <w:r w:rsidR="00A572A6" w:rsidRPr="00FF16BD">
        <w:rPr>
          <w:rFonts w:ascii="Arial" w:hAnsi="Arial" w:cs="Arial"/>
          <w:sz w:val="24"/>
          <w:szCs w:val="24"/>
          <w:lang w:val="fr-FR"/>
        </w:rPr>
        <w:t xml:space="preserve">. </w:t>
      </w:r>
    </w:p>
    <w:p w14:paraId="513E3B3B" w14:textId="77777777" w:rsidR="001D4343" w:rsidRPr="00FF16BD" w:rsidRDefault="001D4343" w:rsidP="00917627">
      <w:pPr>
        <w:pStyle w:val="ListParagraph"/>
        <w:spacing w:line="360" w:lineRule="auto"/>
        <w:jc w:val="both"/>
        <w:rPr>
          <w:rFonts w:ascii="Arial" w:hAnsi="Arial" w:cs="Arial"/>
          <w:sz w:val="24"/>
          <w:szCs w:val="24"/>
          <w:lang w:val="fr-FR"/>
        </w:rPr>
      </w:pPr>
    </w:p>
    <w:p w14:paraId="5B7332DA" w14:textId="78F7C865" w:rsidR="006E6AD7" w:rsidRPr="00FF16BD" w:rsidRDefault="001D4343"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note à cet égard que les Parties ne contestent pas sa compétence et qu’au vu des éléments </w:t>
      </w:r>
      <w:r w:rsidR="00F03D26" w:rsidRPr="00FF16BD">
        <w:rPr>
          <w:rFonts w:ascii="Arial" w:hAnsi="Arial" w:cs="Arial"/>
          <w:sz w:val="24"/>
          <w:szCs w:val="24"/>
          <w:lang w:val="fr-FR"/>
        </w:rPr>
        <w:t>d</w:t>
      </w:r>
      <w:r w:rsidRPr="00FF16BD">
        <w:rPr>
          <w:rFonts w:ascii="Arial" w:hAnsi="Arial" w:cs="Arial"/>
          <w:sz w:val="24"/>
          <w:szCs w:val="24"/>
          <w:lang w:val="fr-FR"/>
        </w:rPr>
        <w:t xml:space="preserve">u dossier, </w:t>
      </w:r>
      <w:r w:rsidR="00F03D26" w:rsidRPr="00FF16BD">
        <w:rPr>
          <w:rFonts w:ascii="Arial" w:hAnsi="Arial" w:cs="Arial"/>
          <w:sz w:val="24"/>
          <w:szCs w:val="24"/>
          <w:lang w:val="fr-FR"/>
        </w:rPr>
        <w:t>celle-ci</w:t>
      </w:r>
      <w:r w:rsidR="00E84AA6" w:rsidRPr="00FF16BD">
        <w:rPr>
          <w:rFonts w:ascii="Arial" w:hAnsi="Arial" w:cs="Arial"/>
          <w:sz w:val="24"/>
          <w:szCs w:val="24"/>
          <w:lang w:val="fr-FR"/>
        </w:rPr>
        <w:t xml:space="preserve"> est établie ainsi qu’il suit : </w:t>
      </w:r>
    </w:p>
    <w:p w14:paraId="6D72CF07" w14:textId="77777777" w:rsidR="005F4D2F" w:rsidRPr="00FF16BD" w:rsidRDefault="005F4D2F" w:rsidP="00917627">
      <w:pPr>
        <w:pStyle w:val="ListParagraph"/>
        <w:spacing w:line="360" w:lineRule="auto"/>
        <w:jc w:val="both"/>
        <w:rPr>
          <w:rFonts w:ascii="Arial" w:hAnsi="Arial" w:cs="Arial"/>
          <w:sz w:val="24"/>
          <w:szCs w:val="24"/>
          <w:lang w:val="fr-FR"/>
        </w:rPr>
      </w:pPr>
    </w:p>
    <w:p w14:paraId="687D26B8" w14:textId="2DD3B2F8" w:rsidR="002D2B02" w:rsidRPr="00FF16BD" w:rsidRDefault="00E84AA6" w:rsidP="00A41723">
      <w:pPr>
        <w:pStyle w:val="ListParagraph"/>
        <w:numPr>
          <w:ilvl w:val="0"/>
          <w:numId w:val="34"/>
        </w:numPr>
        <w:spacing w:line="360" w:lineRule="auto"/>
        <w:jc w:val="both"/>
        <w:rPr>
          <w:rFonts w:ascii="Arial" w:hAnsi="Arial" w:cs="Arial"/>
          <w:sz w:val="24"/>
          <w:szCs w:val="24"/>
          <w:lang w:val="fr-FR"/>
        </w:rPr>
      </w:pPr>
      <w:r w:rsidRPr="00FF16BD">
        <w:rPr>
          <w:rFonts w:ascii="Arial" w:hAnsi="Arial" w:cs="Arial"/>
          <w:sz w:val="24"/>
          <w:szCs w:val="24"/>
          <w:lang w:val="fr-FR"/>
        </w:rPr>
        <w:t xml:space="preserve">Compétence personnelle : </w:t>
      </w:r>
      <w:r w:rsidR="008024A7" w:rsidRPr="00FF16BD">
        <w:rPr>
          <w:rFonts w:ascii="Arial" w:hAnsi="Arial" w:cs="Arial"/>
          <w:sz w:val="24"/>
          <w:szCs w:val="24"/>
          <w:lang w:val="fr-FR"/>
        </w:rPr>
        <w:t xml:space="preserve">la Requête a été introduite le 11 juillet 2016, soit postérieurement aux dates rappelées plus haut auxquelles </w:t>
      </w:r>
      <w:r w:rsidRPr="00FF16BD">
        <w:rPr>
          <w:rFonts w:ascii="Arial" w:hAnsi="Arial" w:cs="Arial"/>
          <w:sz w:val="24"/>
          <w:szCs w:val="24"/>
          <w:lang w:val="fr-FR"/>
        </w:rPr>
        <w:t>l’Etat défendeur a ratifié le Protocole et déposé la déclaration prévue à l’article 34(6) ;</w:t>
      </w:r>
      <w:r w:rsidR="002D2B02" w:rsidRPr="00FF16BD">
        <w:rPr>
          <w:rFonts w:ascii="Arial" w:hAnsi="Arial" w:cs="Arial"/>
          <w:sz w:val="24"/>
          <w:szCs w:val="24"/>
          <w:lang w:val="fr-FR"/>
        </w:rPr>
        <w:t xml:space="preserve"> </w:t>
      </w:r>
    </w:p>
    <w:p w14:paraId="24433F55" w14:textId="77777777" w:rsidR="005F4D2F" w:rsidRPr="00FF16BD" w:rsidRDefault="005F4D2F" w:rsidP="00917627">
      <w:pPr>
        <w:pStyle w:val="ListParagraph"/>
        <w:spacing w:line="360" w:lineRule="auto"/>
        <w:ind w:left="1080"/>
        <w:jc w:val="both"/>
        <w:rPr>
          <w:rFonts w:ascii="Arial" w:hAnsi="Arial" w:cs="Arial"/>
          <w:sz w:val="24"/>
          <w:szCs w:val="24"/>
          <w:lang w:val="fr-FR"/>
        </w:rPr>
      </w:pPr>
    </w:p>
    <w:p w14:paraId="42E1553A" w14:textId="48AFBAAD" w:rsidR="00207050" w:rsidRPr="00FF16BD" w:rsidRDefault="00E84AA6" w:rsidP="00A41723">
      <w:pPr>
        <w:pStyle w:val="ListParagraph"/>
        <w:numPr>
          <w:ilvl w:val="0"/>
          <w:numId w:val="34"/>
        </w:numPr>
        <w:spacing w:line="360" w:lineRule="auto"/>
        <w:jc w:val="both"/>
        <w:rPr>
          <w:rFonts w:ascii="Arial" w:hAnsi="Arial" w:cs="Arial"/>
          <w:sz w:val="24"/>
          <w:szCs w:val="24"/>
          <w:lang w:val="fr-FR"/>
        </w:rPr>
      </w:pPr>
      <w:r w:rsidRPr="00FF16BD">
        <w:rPr>
          <w:rFonts w:ascii="Arial" w:hAnsi="Arial" w:cs="Arial"/>
          <w:sz w:val="24"/>
          <w:szCs w:val="24"/>
          <w:lang w:val="fr-FR"/>
        </w:rPr>
        <w:t xml:space="preserve">Compétence matérielle : </w:t>
      </w:r>
      <w:r w:rsidR="00EC29FE" w:rsidRPr="00FF16BD">
        <w:rPr>
          <w:rFonts w:ascii="Arial" w:hAnsi="Arial" w:cs="Arial"/>
          <w:sz w:val="24"/>
          <w:szCs w:val="24"/>
          <w:lang w:val="fr-FR"/>
        </w:rPr>
        <w:t>le Requérant allègue principalement la violation de dispositions de la Charte et du P</w:t>
      </w:r>
      <w:r w:rsidR="00A41723" w:rsidRPr="00FF16BD">
        <w:rPr>
          <w:rFonts w:ascii="Arial" w:hAnsi="Arial" w:cs="Arial"/>
          <w:sz w:val="24"/>
          <w:szCs w:val="24"/>
          <w:lang w:val="fr-FR"/>
        </w:rPr>
        <w:t>IDCP</w:t>
      </w:r>
      <w:r w:rsidRPr="00FF16BD">
        <w:rPr>
          <w:rFonts w:ascii="Arial" w:hAnsi="Arial" w:cs="Arial"/>
          <w:sz w:val="24"/>
          <w:szCs w:val="24"/>
          <w:lang w:val="fr-FR"/>
        </w:rPr>
        <w:t xml:space="preserve">, instruments auxquels est partie </w:t>
      </w:r>
      <w:r w:rsidR="000E1283" w:rsidRPr="00FF16BD">
        <w:rPr>
          <w:rFonts w:ascii="Arial" w:hAnsi="Arial" w:cs="Arial"/>
          <w:sz w:val="24"/>
          <w:szCs w:val="24"/>
          <w:lang w:val="fr-FR"/>
        </w:rPr>
        <w:t>l’Etat défendeur</w:t>
      </w:r>
      <w:r w:rsidRPr="00FF16BD">
        <w:rPr>
          <w:rFonts w:ascii="Arial" w:hAnsi="Arial" w:cs="Arial"/>
          <w:sz w:val="24"/>
          <w:szCs w:val="24"/>
          <w:lang w:val="fr-FR"/>
        </w:rPr>
        <w:t> ;</w:t>
      </w:r>
      <w:r w:rsidR="00E47309" w:rsidRPr="00FF16BD">
        <w:rPr>
          <w:rFonts w:ascii="Arial" w:hAnsi="Arial" w:cs="Arial"/>
          <w:sz w:val="24"/>
          <w:szCs w:val="24"/>
          <w:lang w:val="fr-FR"/>
        </w:rPr>
        <w:t xml:space="preserve"> </w:t>
      </w:r>
    </w:p>
    <w:p w14:paraId="598F787F" w14:textId="77777777" w:rsidR="00207050" w:rsidRPr="00FF16BD" w:rsidRDefault="00207050" w:rsidP="00917627">
      <w:pPr>
        <w:pStyle w:val="ListParagraph"/>
        <w:spacing w:line="360" w:lineRule="auto"/>
        <w:ind w:left="1080"/>
        <w:jc w:val="both"/>
        <w:rPr>
          <w:rFonts w:ascii="Arial" w:hAnsi="Arial" w:cs="Arial"/>
          <w:sz w:val="24"/>
          <w:szCs w:val="24"/>
          <w:lang w:val="fr-FR"/>
        </w:rPr>
      </w:pPr>
    </w:p>
    <w:p w14:paraId="700E8596" w14:textId="2E0DB8B6" w:rsidR="005B7043" w:rsidRPr="00FF16BD" w:rsidRDefault="00E84AA6" w:rsidP="00A41723">
      <w:pPr>
        <w:pStyle w:val="ListParagraph"/>
        <w:numPr>
          <w:ilvl w:val="0"/>
          <w:numId w:val="34"/>
        </w:numPr>
        <w:spacing w:line="360" w:lineRule="auto"/>
        <w:jc w:val="both"/>
        <w:rPr>
          <w:rFonts w:ascii="Arial" w:hAnsi="Arial" w:cs="Arial"/>
          <w:sz w:val="24"/>
          <w:szCs w:val="24"/>
          <w:lang w:val="fr-FR"/>
        </w:rPr>
      </w:pPr>
      <w:r w:rsidRPr="00FF16BD">
        <w:rPr>
          <w:rFonts w:ascii="Arial" w:hAnsi="Arial" w:cs="Arial"/>
          <w:sz w:val="24"/>
          <w:szCs w:val="24"/>
          <w:lang w:val="fr-FR"/>
        </w:rPr>
        <w:t>Compétence temporelle :</w:t>
      </w:r>
      <w:r w:rsidR="002E0DC9" w:rsidRPr="00FF16BD">
        <w:rPr>
          <w:rFonts w:ascii="Arial" w:hAnsi="Arial" w:cs="Arial"/>
          <w:sz w:val="24"/>
          <w:szCs w:val="24"/>
          <w:lang w:val="fr-FR"/>
        </w:rPr>
        <w:t xml:space="preserve"> Les violations </w:t>
      </w:r>
      <w:r w:rsidR="00A41723" w:rsidRPr="00FF16BD">
        <w:rPr>
          <w:rFonts w:ascii="Arial" w:hAnsi="Arial" w:cs="Arial"/>
          <w:sz w:val="24"/>
          <w:szCs w:val="24"/>
          <w:lang w:val="fr-FR"/>
        </w:rPr>
        <w:t>alléguées ont commencé antérieurement</w:t>
      </w:r>
      <w:r w:rsidR="002E0DC9" w:rsidRPr="00FF16BD">
        <w:rPr>
          <w:rFonts w:ascii="Arial" w:hAnsi="Arial" w:cs="Arial"/>
          <w:sz w:val="24"/>
          <w:szCs w:val="24"/>
          <w:lang w:val="fr-FR"/>
        </w:rPr>
        <w:t xml:space="preserve"> </w:t>
      </w:r>
      <w:r w:rsidR="006C0721" w:rsidRPr="00FF16BD">
        <w:rPr>
          <w:rFonts w:ascii="Arial" w:hAnsi="Arial" w:cs="Arial"/>
          <w:sz w:val="24"/>
          <w:szCs w:val="24"/>
          <w:lang w:val="fr-FR"/>
        </w:rPr>
        <w:t>au dépôt de la déclaration</w:t>
      </w:r>
      <w:r w:rsidR="00A41723" w:rsidRPr="00FF16BD">
        <w:rPr>
          <w:rFonts w:ascii="Arial" w:hAnsi="Arial" w:cs="Arial"/>
          <w:sz w:val="24"/>
          <w:szCs w:val="24"/>
          <w:lang w:val="fr-FR"/>
        </w:rPr>
        <w:t xml:space="preserve"> mais </w:t>
      </w:r>
      <w:r w:rsidR="00660C5C" w:rsidRPr="00FF16BD">
        <w:rPr>
          <w:rFonts w:ascii="Arial" w:hAnsi="Arial" w:cs="Arial"/>
          <w:sz w:val="24"/>
          <w:szCs w:val="24"/>
          <w:lang w:val="fr-FR"/>
        </w:rPr>
        <w:t>se sont poursuivies</w:t>
      </w:r>
      <w:r w:rsidR="00660C5C" w:rsidRPr="00FF16BD">
        <w:rPr>
          <w:rFonts w:ascii="Arial" w:hAnsi="Arial" w:cs="Arial"/>
          <w:b/>
          <w:sz w:val="24"/>
          <w:szCs w:val="24"/>
          <w:lang w:val="fr-FR"/>
        </w:rPr>
        <w:t xml:space="preserve"> </w:t>
      </w:r>
      <w:r w:rsidR="00660C5C" w:rsidRPr="00FF16BD">
        <w:rPr>
          <w:rFonts w:ascii="Arial" w:hAnsi="Arial" w:cs="Arial"/>
          <w:sz w:val="24"/>
          <w:szCs w:val="24"/>
          <w:lang w:val="fr-FR"/>
        </w:rPr>
        <w:lastRenderedPageBreak/>
        <w:t>postérieurement</w:t>
      </w:r>
      <w:r w:rsidR="006C0721" w:rsidRPr="00FF16BD">
        <w:rPr>
          <w:rFonts w:ascii="Arial" w:hAnsi="Arial" w:cs="Arial"/>
          <w:sz w:val="24"/>
          <w:szCs w:val="24"/>
          <w:lang w:val="fr-FR"/>
        </w:rPr>
        <w:t xml:space="preserve">, c’est-à-dire </w:t>
      </w:r>
      <w:r w:rsidR="008024A7" w:rsidRPr="00FF16BD">
        <w:rPr>
          <w:rFonts w:ascii="Arial" w:hAnsi="Arial" w:cs="Arial"/>
          <w:sz w:val="24"/>
          <w:szCs w:val="24"/>
          <w:lang w:val="fr-FR"/>
        </w:rPr>
        <w:t>jusqu’au 5 juin 2014, date à laquelle la Cour suprême a rendu l’arrêt mis en cause par le Requérant.</w:t>
      </w:r>
      <w:r w:rsidR="00074DA9" w:rsidRPr="00FF16BD">
        <w:rPr>
          <w:rStyle w:val="FootnoteReference"/>
          <w:rFonts w:ascii="Arial" w:hAnsi="Arial" w:cs="Arial"/>
          <w:sz w:val="24"/>
          <w:szCs w:val="24"/>
          <w:lang w:val="fr-FR"/>
        </w:rPr>
        <w:footnoteReference w:id="1"/>
      </w:r>
      <w:r w:rsidR="002E0DC9" w:rsidRPr="00FF16BD">
        <w:rPr>
          <w:rFonts w:ascii="Arial" w:hAnsi="Arial" w:cs="Arial"/>
          <w:sz w:val="24"/>
          <w:szCs w:val="24"/>
          <w:lang w:val="fr-FR"/>
        </w:rPr>
        <w:t xml:space="preserve"> </w:t>
      </w:r>
      <w:r w:rsidRPr="00FF16BD">
        <w:rPr>
          <w:rFonts w:ascii="Arial" w:hAnsi="Arial" w:cs="Arial"/>
          <w:sz w:val="24"/>
          <w:szCs w:val="24"/>
          <w:lang w:val="fr-FR"/>
        </w:rPr>
        <w:t xml:space="preserve"> </w:t>
      </w:r>
    </w:p>
    <w:p w14:paraId="7827C972" w14:textId="77777777" w:rsidR="00606609" w:rsidRPr="00FF16BD" w:rsidRDefault="00606609" w:rsidP="00917627">
      <w:pPr>
        <w:pStyle w:val="ListParagraph"/>
        <w:spacing w:line="360" w:lineRule="auto"/>
        <w:ind w:left="1080"/>
        <w:jc w:val="both"/>
        <w:rPr>
          <w:rFonts w:ascii="Arial" w:hAnsi="Arial" w:cs="Arial"/>
          <w:sz w:val="24"/>
          <w:szCs w:val="24"/>
          <w:lang w:val="fr-FR"/>
        </w:rPr>
      </w:pPr>
    </w:p>
    <w:p w14:paraId="2968014B" w14:textId="6FF271D5" w:rsidR="0098566B" w:rsidRPr="00FF16BD" w:rsidRDefault="00E84AA6" w:rsidP="00A41723">
      <w:pPr>
        <w:pStyle w:val="ListParagraph"/>
        <w:numPr>
          <w:ilvl w:val="0"/>
          <w:numId w:val="34"/>
        </w:numPr>
        <w:spacing w:line="360" w:lineRule="auto"/>
        <w:jc w:val="both"/>
        <w:rPr>
          <w:rFonts w:ascii="Arial" w:hAnsi="Arial" w:cs="Arial"/>
          <w:sz w:val="24"/>
          <w:szCs w:val="24"/>
          <w:lang w:val="fr-FR"/>
        </w:rPr>
      </w:pPr>
      <w:r w:rsidRPr="00FF16BD">
        <w:rPr>
          <w:rFonts w:ascii="Arial" w:hAnsi="Arial" w:cs="Arial"/>
          <w:sz w:val="24"/>
          <w:szCs w:val="24"/>
          <w:lang w:val="fr-FR"/>
        </w:rPr>
        <w:t xml:space="preserve">Compétence territoriale : </w:t>
      </w:r>
      <w:r w:rsidR="00DA2B7C" w:rsidRPr="00FF16BD">
        <w:rPr>
          <w:rFonts w:ascii="Arial" w:hAnsi="Arial" w:cs="Arial"/>
          <w:sz w:val="24"/>
          <w:szCs w:val="24"/>
          <w:lang w:val="fr-FR"/>
        </w:rPr>
        <w:t xml:space="preserve">Les </w:t>
      </w:r>
      <w:r w:rsidR="00660C5C" w:rsidRPr="00FF16BD">
        <w:rPr>
          <w:rFonts w:ascii="Arial" w:hAnsi="Arial" w:cs="Arial"/>
          <w:sz w:val="24"/>
          <w:szCs w:val="24"/>
          <w:lang w:val="fr-FR"/>
        </w:rPr>
        <w:t>faits se sont déroulés</w:t>
      </w:r>
      <w:r w:rsidR="00DA2B7C" w:rsidRPr="00FF16BD">
        <w:rPr>
          <w:rFonts w:ascii="Arial" w:hAnsi="Arial" w:cs="Arial"/>
          <w:sz w:val="24"/>
          <w:szCs w:val="24"/>
          <w:lang w:val="fr-FR"/>
        </w:rPr>
        <w:t xml:space="preserve"> sur le territoire de l’Etat défendeur</w:t>
      </w:r>
      <w:r w:rsidR="001B2B2C" w:rsidRPr="00FF16BD">
        <w:rPr>
          <w:rFonts w:ascii="Arial" w:hAnsi="Arial" w:cs="Arial"/>
          <w:sz w:val="24"/>
          <w:szCs w:val="24"/>
          <w:lang w:val="fr-FR"/>
        </w:rPr>
        <w:t xml:space="preserve"> qui ne</w:t>
      </w:r>
      <w:r w:rsidR="00660C5C" w:rsidRPr="00FF16BD">
        <w:rPr>
          <w:rFonts w:ascii="Arial" w:hAnsi="Arial" w:cs="Arial"/>
          <w:sz w:val="24"/>
          <w:szCs w:val="24"/>
          <w:lang w:val="fr-FR"/>
        </w:rPr>
        <w:t xml:space="preserve"> le</w:t>
      </w:r>
      <w:r w:rsidR="001B2B2C" w:rsidRPr="00FF16BD">
        <w:rPr>
          <w:rFonts w:ascii="Arial" w:hAnsi="Arial" w:cs="Arial"/>
          <w:sz w:val="24"/>
          <w:szCs w:val="24"/>
          <w:lang w:val="fr-FR"/>
        </w:rPr>
        <w:t xml:space="preserve"> conteste pas</w:t>
      </w:r>
      <w:r w:rsidR="00DA2B7C" w:rsidRPr="00FF16BD">
        <w:rPr>
          <w:rFonts w:ascii="Arial" w:hAnsi="Arial" w:cs="Arial"/>
          <w:sz w:val="24"/>
          <w:szCs w:val="24"/>
          <w:lang w:val="fr-FR"/>
        </w:rPr>
        <w:t xml:space="preserve">. </w:t>
      </w:r>
    </w:p>
    <w:p w14:paraId="0D2529C2" w14:textId="77777777" w:rsidR="008024A7" w:rsidRPr="00FF16BD" w:rsidRDefault="008024A7" w:rsidP="00917627">
      <w:pPr>
        <w:pStyle w:val="ListParagraph"/>
        <w:spacing w:line="360" w:lineRule="auto"/>
        <w:jc w:val="both"/>
        <w:rPr>
          <w:rFonts w:ascii="Arial" w:hAnsi="Arial" w:cs="Arial"/>
          <w:sz w:val="24"/>
          <w:szCs w:val="24"/>
          <w:lang w:val="fr-FR"/>
        </w:rPr>
      </w:pPr>
    </w:p>
    <w:p w14:paraId="65BFB60A" w14:textId="77777777" w:rsidR="008024A7" w:rsidRPr="00FF16BD" w:rsidRDefault="008024A7" w:rsidP="00E66468">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De ce qui précède, la Cour conclut qu’elle est compétente pour connaître de la présente Requête. </w:t>
      </w:r>
    </w:p>
    <w:p w14:paraId="06B7912D" w14:textId="77777777" w:rsidR="00356A56" w:rsidRPr="00FF16BD" w:rsidRDefault="00356A56" w:rsidP="00917627">
      <w:pPr>
        <w:pStyle w:val="ListParagraph"/>
        <w:spacing w:line="360" w:lineRule="auto"/>
        <w:jc w:val="both"/>
        <w:rPr>
          <w:rFonts w:ascii="Arial" w:hAnsi="Arial" w:cs="Arial"/>
          <w:b/>
          <w:sz w:val="24"/>
          <w:szCs w:val="24"/>
          <w:lang w:val="fr-FR"/>
        </w:rPr>
      </w:pPr>
    </w:p>
    <w:p w14:paraId="4B492245" w14:textId="49B227F9" w:rsidR="00330892" w:rsidRPr="00FF16BD" w:rsidRDefault="008024A7" w:rsidP="00534D7D">
      <w:pPr>
        <w:pStyle w:val="Heading1"/>
        <w:numPr>
          <w:ilvl w:val="0"/>
          <w:numId w:val="35"/>
        </w:numPr>
        <w:ind w:left="567" w:hanging="513"/>
        <w:jc w:val="left"/>
        <w:rPr>
          <w:sz w:val="24"/>
        </w:rPr>
      </w:pPr>
      <w:bookmarkStart w:id="8" w:name="_Toc509567808"/>
      <w:r w:rsidRPr="00FF16BD">
        <w:rPr>
          <w:sz w:val="24"/>
        </w:rPr>
        <w:t xml:space="preserve">SUR LA </w:t>
      </w:r>
      <w:r w:rsidR="00C16992" w:rsidRPr="00FF16BD">
        <w:rPr>
          <w:sz w:val="24"/>
        </w:rPr>
        <w:t>RECEVABILITÉ</w:t>
      </w:r>
      <w:bookmarkEnd w:id="8"/>
      <w:r w:rsidR="00C16992" w:rsidRPr="00FF16BD">
        <w:rPr>
          <w:sz w:val="24"/>
        </w:rPr>
        <w:t xml:space="preserve"> </w:t>
      </w:r>
    </w:p>
    <w:p w14:paraId="4FB49060" w14:textId="77777777" w:rsidR="00281F8E" w:rsidRPr="00FF16BD" w:rsidRDefault="00281F8E" w:rsidP="00917627">
      <w:pPr>
        <w:pStyle w:val="ListParagraph"/>
        <w:spacing w:line="360" w:lineRule="auto"/>
        <w:jc w:val="both"/>
        <w:rPr>
          <w:rFonts w:ascii="Arial" w:eastAsia="Calibri" w:hAnsi="Arial" w:cs="Arial"/>
          <w:sz w:val="24"/>
          <w:szCs w:val="24"/>
          <w:lang w:val="fr-FR"/>
        </w:rPr>
      </w:pPr>
    </w:p>
    <w:p w14:paraId="5D138E83" w14:textId="4305EBC5" w:rsidR="0010370A" w:rsidRPr="00FF16BD" w:rsidRDefault="008024A7" w:rsidP="00917627">
      <w:pPr>
        <w:pStyle w:val="ListParagraph"/>
        <w:numPr>
          <w:ilvl w:val="0"/>
          <w:numId w:val="3"/>
        </w:numPr>
        <w:spacing w:line="360" w:lineRule="auto"/>
        <w:jc w:val="both"/>
        <w:rPr>
          <w:rFonts w:ascii="Arial" w:eastAsia="Calibri" w:hAnsi="Arial" w:cs="Arial"/>
          <w:sz w:val="24"/>
          <w:szCs w:val="24"/>
          <w:lang w:val="fr-FR"/>
        </w:rPr>
      </w:pPr>
      <w:r w:rsidRPr="00FF16BD">
        <w:rPr>
          <w:rFonts w:ascii="Arial" w:eastAsia="Calibri" w:hAnsi="Arial" w:cs="Arial"/>
          <w:sz w:val="24"/>
          <w:szCs w:val="24"/>
          <w:lang w:val="fr-FR"/>
        </w:rPr>
        <w:t xml:space="preserve">En vertu </w:t>
      </w:r>
      <w:r w:rsidR="00281F8E" w:rsidRPr="00FF16BD">
        <w:rPr>
          <w:rFonts w:ascii="Arial" w:eastAsia="Calibri" w:hAnsi="Arial" w:cs="Arial"/>
          <w:sz w:val="24"/>
          <w:szCs w:val="24"/>
          <w:lang w:val="fr-FR"/>
        </w:rPr>
        <w:t>de</w:t>
      </w:r>
      <w:r w:rsidR="00CA19A6" w:rsidRPr="00FF16BD">
        <w:rPr>
          <w:rFonts w:ascii="Arial" w:eastAsia="Calibri" w:hAnsi="Arial" w:cs="Arial"/>
          <w:sz w:val="24"/>
          <w:szCs w:val="24"/>
          <w:lang w:val="fr-FR"/>
        </w:rPr>
        <w:t xml:space="preserve"> </w:t>
      </w:r>
      <w:r w:rsidR="00281F8E" w:rsidRPr="00FF16BD">
        <w:rPr>
          <w:rFonts w:ascii="Arial" w:eastAsia="Calibri" w:hAnsi="Arial" w:cs="Arial"/>
          <w:sz w:val="24"/>
          <w:szCs w:val="24"/>
          <w:lang w:val="fr-FR"/>
        </w:rPr>
        <w:t>l’article 6(2) du Protocole</w:t>
      </w:r>
      <w:r w:rsidR="0010370A" w:rsidRPr="00FF16BD">
        <w:rPr>
          <w:rFonts w:ascii="Arial" w:eastAsia="Calibri" w:hAnsi="Arial" w:cs="Arial"/>
          <w:sz w:val="24"/>
          <w:szCs w:val="24"/>
          <w:lang w:val="fr-FR"/>
        </w:rPr>
        <w:t xml:space="preserve">, </w:t>
      </w:r>
      <w:r w:rsidR="0010370A" w:rsidRPr="00FF16BD">
        <w:rPr>
          <w:rFonts w:ascii="Arial" w:eastAsia="Calibri" w:hAnsi="Arial" w:cs="Arial"/>
          <w:lang w:val="fr-FR"/>
        </w:rPr>
        <w:t>« [l]a Cour statue sur la recevabilité des requêtes en tenant compte des dispositions énoncées à l’article 56 de la Charte »</w:t>
      </w:r>
      <w:r w:rsidR="0010370A" w:rsidRPr="00FF16BD">
        <w:rPr>
          <w:rFonts w:ascii="Arial" w:eastAsia="Calibri" w:hAnsi="Arial" w:cs="Arial"/>
          <w:sz w:val="24"/>
          <w:szCs w:val="24"/>
          <w:lang w:val="fr-FR"/>
        </w:rPr>
        <w:t xml:space="preserve">. Conformément à l’article 39 du Règlement, </w:t>
      </w:r>
      <w:r w:rsidR="0010370A" w:rsidRPr="00FF16BD">
        <w:rPr>
          <w:rFonts w:ascii="Arial" w:eastAsia="Calibri" w:hAnsi="Arial" w:cs="Arial"/>
          <w:lang w:val="fr-FR"/>
        </w:rPr>
        <w:t>« [l]a Cour procède à un examen préliminaire des conditions de recevabilité de la requête telles que prévues par les articles 50 et 56 de la Charte et l’article 40 du présent Règlement »</w:t>
      </w:r>
      <w:r w:rsidR="0010370A" w:rsidRPr="00FF16BD">
        <w:rPr>
          <w:rFonts w:ascii="Arial" w:eastAsia="Calibri" w:hAnsi="Arial" w:cs="Arial"/>
          <w:sz w:val="24"/>
          <w:szCs w:val="24"/>
          <w:lang w:val="fr-FR"/>
        </w:rPr>
        <w:t xml:space="preserve">. </w:t>
      </w:r>
    </w:p>
    <w:p w14:paraId="3F3410EF" w14:textId="77777777" w:rsidR="00CA19A6" w:rsidRPr="00FF16BD" w:rsidRDefault="00CA19A6" w:rsidP="00917627">
      <w:pPr>
        <w:pStyle w:val="ListParagraph"/>
        <w:spacing w:line="360" w:lineRule="auto"/>
        <w:rPr>
          <w:rFonts w:ascii="Arial" w:eastAsia="Calibri" w:hAnsi="Arial" w:cs="Arial"/>
          <w:sz w:val="24"/>
          <w:szCs w:val="24"/>
          <w:lang w:val="fr-FR"/>
        </w:rPr>
      </w:pPr>
    </w:p>
    <w:p w14:paraId="4B7A780A" w14:textId="77777777" w:rsidR="00CA19A6" w:rsidRPr="00FF16BD" w:rsidRDefault="00CA19A6" w:rsidP="00917627">
      <w:pPr>
        <w:pStyle w:val="ListParagraph"/>
        <w:numPr>
          <w:ilvl w:val="0"/>
          <w:numId w:val="3"/>
        </w:numPr>
        <w:spacing w:line="360" w:lineRule="auto"/>
        <w:jc w:val="both"/>
        <w:rPr>
          <w:rFonts w:ascii="Arial" w:eastAsia="Calibri" w:hAnsi="Arial" w:cs="Arial"/>
          <w:sz w:val="24"/>
          <w:szCs w:val="24"/>
          <w:lang w:val="fr-FR"/>
        </w:rPr>
      </w:pPr>
      <w:r w:rsidRPr="00FF16BD">
        <w:rPr>
          <w:rFonts w:ascii="Arial" w:eastAsia="Calibri" w:hAnsi="Arial" w:cs="Arial"/>
          <w:sz w:val="24"/>
          <w:szCs w:val="24"/>
          <w:lang w:val="fr-FR"/>
        </w:rPr>
        <w:t xml:space="preserve">L’article 40 du Règlement qui reprend en substance le contenu de </w:t>
      </w:r>
      <w:r w:rsidR="00281F8E" w:rsidRPr="00FF16BD">
        <w:rPr>
          <w:rFonts w:ascii="Arial" w:eastAsia="Calibri" w:hAnsi="Arial" w:cs="Arial"/>
          <w:sz w:val="24"/>
          <w:szCs w:val="24"/>
          <w:lang w:val="fr-FR"/>
        </w:rPr>
        <w:t>l’article 56 de la Charte stipule</w:t>
      </w:r>
      <w:r w:rsidRPr="00FF16BD">
        <w:rPr>
          <w:rFonts w:ascii="Arial" w:eastAsia="Calibri" w:hAnsi="Arial" w:cs="Arial"/>
          <w:sz w:val="24"/>
          <w:szCs w:val="24"/>
          <w:lang w:val="fr-FR"/>
        </w:rPr>
        <w:t> :</w:t>
      </w:r>
    </w:p>
    <w:p w14:paraId="345C01F5" w14:textId="77777777" w:rsidR="00CA19A6" w:rsidRPr="00FF16BD" w:rsidRDefault="00CA19A6" w:rsidP="00917627">
      <w:pPr>
        <w:spacing w:after="200" w:line="360" w:lineRule="auto"/>
        <w:ind w:left="1440"/>
        <w:jc w:val="both"/>
        <w:rPr>
          <w:rFonts w:ascii="Arial" w:eastAsia="Calibri" w:hAnsi="Arial" w:cs="Arial"/>
          <w:lang w:val="fr-FR"/>
        </w:rPr>
      </w:pPr>
      <w:r w:rsidRPr="00FF16BD">
        <w:rPr>
          <w:rFonts w:ascii="Arial" w:eastAsia="Calibri" w:hAnsi="Arial" w:cs="Arial"/>
          <w:lang w:val="fr-FR"/>
        </w:rPr>
        <w:t>« En conformité avec les dispositions de l’article 56 de la Charte</w:t>
      </w:r>
      <w:r w:rsidR="00281F8E" w:rsidRPr="00FF16BD">
        <w:rPr>
          <w:rFonts w:ascii="Arial" w:eastAsia="Calibri" w:hAnsi="Arial" w:cs="Arial"/>
          <w:lang w:val="fr-FR"/>
        </w:rPr>
        <w:t xml:space="preserve"> auxquelles renvoie l’article 6(</w:t>
      </w:r>
      <w:r w:rsidRPr="00FF16BD">
        <w:rPr>
          <w:rFonts w:ascii="Arial" w:eastAsia="Calibri" w:hAnsi="Arial" w:cs="Arial"/>
          <w:lang w:val="fr-FR"/>
        </w:rPr>
        <w:t>2</w:t>
      </w:r>
      <w:r w:rsidR="00281F8E" w:rsidRPr="00FF16BD">
        <w:rPr>
          <w:rFonts w:ascii="Arial" w:eastAsia="Calibri" w:hAnsi="Arial" w:cs="Arial"/>
          <w:lang w:val="fr-FR"/>
        </w:rPr>
        <w:t>)</w:t>
      </w:r>
      <w:r w:rsidRPr="00FF16BD">
        <w:rPr>
          <w:rFonts w:ascii="Arial" w:eastAsia="Calibri" w:hAnsi="Arial" w:cs="Arial"/>
          <w:lang w:val="fr-FR"/>
        </w:rPr>
        <w:t xml:space="preserve"> du Protocole, po</w:t>
      </w:r>
      <w:r w:rsidR="00281F8E" w:rsidRPr="00FF16BD">
        <w:rPr>
          <w:rFonts w:ascii="Arial" w:eastAsia="Calibri" w:hAnsi="Arial" w:cs="Arial"/>
          <w:lang w:val="fr-FR"/>
        </w:rPr>
        <w:t>ur être examinées, les requêtes</w:t>
      </w:r>
      <w:r w:rsidRPr="00FF16BD">
        <w:rPr>
          <w:rFonts w:ascii="Arial" w:eastAsia="Calibri" w:hAnsi="Arial" w:cs="Arial"/>
          <w:lang w:val="fr-FR"/>
        </w:rPr>
        <w:t xml:space="preserve"> doivent remplir les conditions ci-après :</w:t>
      </w:r>
    </w:p>
    <w:p w14:paraId="48C3E42D" w14:textId="77777777" w:rsidR="00CA19A6" w:rsidRPr="00FF16BD" w:rsidRDefault="00CA19A6" w:rsidP="00917627">
      <w:pPr>
        <w:numPr>
          <w:ilvl w:val="0"/>
          <w:numId w:val="27"/>
        </w:numPr>
        <w:spacing w:after="200" w:line="360" w:lineRule="auto"/>
        <w:contextualSpacing/>
        <w:jc w:val="both"/>
        <w:rPr>
          <w:rFonts w:ascii="Arial" w:eastAsia="Calibri" w:hAnsi="Arial" w:cs="Arial"/>
          <w:lang w:val="fr-FR"/>
        </w:rPr>
      </w:pPr>
      <w:r w:rsidRPr="00FF16BD">
        <w:rPr>
          <w:rFonts w:ascii="Arial" w:eastAsia="Calibri" w:hAnsi="Arial" w:cs="Arial"/>
          <w:lang w:val="fr-FR"/>
        </w:rPr>
        <w:t>Indiquer l’identité de leur auteur même si celui-ci demande à la Cour de garder l’anonymat ;</w:t>
      </w:r>
    </w:p>
    <w:p w14:paraId="1E1579D3" w14:textId="77777777" w:rsidR="00CA19A6" w:rsidRPr="00FF16BD" w:rsidRDefault="00CA19A6" w:rsidP="00917627">
      <w:pPr>
        <w:numPr>
          <w:ilvl w:val="0"/>
          <w:numId w:val="27"/>
        </w:numPr>
        <w:spacing w:after="200" w:line="360" w:lineRule="auto"/>
        <w:contextualSpacing/>
        <w:jc w:val="both"/>
        <w:rPr>
          <w:rFonts w:ascii="Arial" w:eastAsia="Calibri" w:hAnsi="Arial" w:cs="Arial"/>
          <w:lang w:val="fr-FR"/>
        </w:rPr>
      </w:pPr>
      <w:r w:rsidRPr="00FF16BD">
        <w:rPr>
          <w:rFonts w:ascii="Arial" w:eastAsia="Calibri" w:hAnsi="Arial" w:cs="Arial"/>
          <w:lang w:val="fr-FR"/>
        </w:rPr>
        <w:t>Être compatible avec l’Acte constitutif de l’Union africaine et la Charte ;</w:t>
      </w:r>
    </w:p>
    <w:p w14:paraId="38EF6793" w14:textId="77777777" w:rsidR="00CA19A6" w:rsidRPr="00FF16BD" w:rsidRDefault="00CA19A6" w:rsidP="00917627">
      <w:pPr>
        <w:numPr>
          <w:ilvl w:val="0"/>
          <w:numId w:val="27"/>
        </w:numPr>
        <w:spacing w:after="200" w:line="360" w:lineRule="auto"/>
        <w:contextualSpacing/>
        <w:jc w:val="both"/>
        <w:rPr>
          <w:rFonts w:ascii="Arial" w:eastAsia="Calibri" w:hAnsi="Arial" w:cs="Arial"/>
          <w:lang w:val="fr-FR"/>
        </w:rPr>
      </w:pPr>
      <w:r w:rsidRPr="00FF16BD">
        <w:rPr>
          <w:rFonts w:ascii="Arial" w:eastAsia="Calibri" w:hAnsi="Arial" w:cs="Arial"/>
          <w:lang w:val="fr-FR"/>
        </w:rPr>
        <w:t>Ne pas contenir de termes outrageants ou insultants ;</w:t>
      </w:r>
    </w:p>
    <w:p w14:paraId="536536A9" w14:textId="77777777" w:rsidR="00CA19A6" w:rsidRPr="00FF16BD" w:rsidRDefault="00CA19A6" w:rsidP="00917627">
      <w:pPr>
        <w:numPr>
          <w:ilvl w:val="0"/>
          <w:numId w:val="27"/>
        </w:numPr>
        <w:spacing w:after="200" w:line="360" w:lineRule="auto"/>
        <w:contextualSpacing/>
        <w:jc w:val="both"/>
        <w:rPr>
          <w:rFonts w:ascii="Arial" w:eastAsia="Calibri" w:hAnsi="Arial" w:cs="Arial"/>
          <w:lang w:val="fr-FR"/>
        </w:rPr>
      </w:pPr>
      <w:r w:rsidRPr="00FF16BD">
        <w:rPr>
          <w:rFonts w:ascii="Arial" w:eastAsia="Calibri" w:hAnsi="Arial" w:cs="Arial"/>
          <w:lang w:val="fr-FR"/>
        </w:rPr>
        <w:t>Ne pas se limiter à rassembler exclusivement des nouvelles diffusées par les moyens de communication de masse ;</w:t>
      </w:r>
    </w:p>
    <w:p w14:paraId="6CEEDD70" w14:textId="77777777" w:rsidR="00CA19A6" w:rsidRPr="00FF16BD" w:rsidRDefault="00CA19A6" w:rsidP="00917627">
      <w:pPr>
        <w:numPr>
          <w:ilvl w:val="0"/>
          <w:numId w:val="27"/>
        </w:numPr>
        <w:spacing w:after="200" w:line="360" w:lineRule="auto"/>
        <w:contextualSpacing/>
        <w:jc w:val="both"/>
        <w:rPr>
          <w:rFonts w:ascii="Arial" w:eastAsia="Calibri" w:hAnsi="Arial" w:cs="Arial"/>
          <w:lang w:val="fr-FR"/>
        </w:rPr>
      </w:pPr>
      <w:r w:rsidRPr="00FF16BD">
        <w:rPr>
          <w:rFonts w:ascii="Arial" w:eastAsia="Calibri" w:hAnsi="Arial" w:cs="Arial"/>
          <w:lang w:val="fr-FR"/>
        </w:rPr>
        <w:t>Être postérieures à l’épuisement des recours internes s’ils existent, à moins qu’il ne soit manifeste à la Cour que la procédure de ces recours se prolonge de façon anormale ;</w:t>
      </w:r>
    </w:p>
    <w:p w14:paraId="22B20F0B" w14:textId="77777777" w:rsidR="00CA19A6" w:rsidRPr="00FF16BD" w:rsidRDefault="00CA19A6" w:rsidP="00917627">
      <w:pPr>
        <w:numPr>
          <w:ilvl w:val="0"/>
          <w:numId w:val="27"/>
        </w:numPr>
        <w:spacing w:after="200" w:line="360" w:lineRule="auto"/>
        <w:contextualSpacing/>
        <w:jc w:val="both"/>
        <w:rPr>
          <w:rFonts w:ascii="Arial" w:eastAsia="Calibri" w:hAnsi="Arial" w:cs="Arial"/>
          <w:lang w:val="fr-FR"/>
        </w:rPr>
      </w:pPr>
      <w:r w:rsidRPr="00FF16BD">
        <w:rPr>
          <w:rFonts w:ascii="Arial" w:eastAsia="Calibri" w:hAnsi="Arial" w:cs="Arial"/>
          <w:lang w:val="fr-FR"/>
        </w:rPr>
        <w:lastRenderedPageBreak/>
        <w:t>Être introduites dans un délai raisonnable courant depuis l’épuisement des recours internes ou depuis la date retenue par la Cour comme faisant commencer à courir le délai de sa propre saisine ;</w:t>
      </w:r>
    </w:p>
    <w:p w14:paraId="23F7EE7E" w14:textId="77777777" w:rsidR="00CA19A6" w:rsidRPr="00FF16BD" w:rsidRDefault="00CA19A6" w:rsidP="00917627">
      <w:pPr>
        <w:numPr>
          <w:ilvl w:val="0"/>
          <w:numId w:val="27"/>
        </w:numPr>
        <w:spacing w:after="200" w:line="360" w:lineRule="auto"/>
        <w:contextualSpacing/>
        <w:jc w:val="both"/>
        <w:rPr>
          <w:rFonts w:ascii="Arial" w:eastAsia="Calibri" w:hAnsi="Arial" w:cs="Arial"/>
          <w:sz w:val="24"/>
          <w:szCs w:val="24"/>
          <w:lang w:val="fr-FR"/>
        </w:rPr>
      </w:pPr>
      <w:r w:rsidRPr="00FF16BD">
        <w:rPr>
          <w:rFonts w:ascii="Arial" w:eastAsia="Calibri" w:hAnsi="Arial" w:cs="Arial"/>
          <w:lang w:val="fr-FR"/>
        </w:rPr>
        <w:t>Ne pas concerner des cas qui ont été réglés conformément soit aux principes de la Charte des Nations Unies, soit de l’Acte constitutif de l’Union africaine et soit des dispositions de la Charte ou de tout autre instrument juridique de l’Union africaine »</w:t>
      </w:r>
      <w:r w:rsidRPr="00FF16BD">
        <w:rPr>
          <w:rFonts w:ascii="Arial" w:eastAsia="Calibri" w:hAnsi="Arial" w:cs="Arial"/>
          <w:sz w:val="24"/>
          <w:szCs w:val="24"/>
          <w:lang w:val="fr-FR"/>
        </w:rPr>
        <w:t>.</w:t>
      </w:r>
    </w:p>
    <w:p w14:paraId="798514E9" w14:textId="77777777" w:rsidR="00F8160C" w:rsidRPr="00FF16BD" w:rsidRDefault="00F8160C" w:rsidP="00E66468">
      <w:pPr>
        <w:pStyle w:val="ListParagraph"/>
        <w:spacing w:line="360" w:lineRule="auto"/>
        <w:jc w:val="both"/>
        <w:rPr>
          <w:rFonts w:ascii="Arial" w:hAnsi="Arial" w:cs="Arial"/>
          <w:b/>
          <w:sz w:val="24"/>
          <w:szCs w:val="24"/>
          <w:lang w:val="fr-FR"/>
        </w:rPr>
      </w:pPr>
    </w:p>
    <w:p w14:paraId="0180373E" w14:textId="4FCD7797" w:rsidR="00E165A7" w:rsidRPr="00FF16BD" w:rsidRDefault="00281F8E"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note </w:t>
      </w:r>
      <w:r w:rsidR="002E0DC9" w:rsidRPr="00FF16BD">
        <w:rPr>
          <w:rFonts w:ascii="Arial" w:hAnsi="Arial" w:cs="Arial"/>
          <w:sz w:val="24"/>
          <w:szCs w:val="24"/>
          <w:lang w:val="fr-FR"/>
        </w:rPr>
        <w:t>que</w:t>
      </w:r>
      <w:r w:rsidR="00E25074" w:rsidRPr="00FF16BD">
        <w:rPr>
          <w:rFonts w:ascii="Arial" w:hAnsi="Arial" w:cs="Arial"/>
          <w:sz w:val="24"/>
          <w:szCs w:val="24"/>
          <w:lang w:val="fr-FR"/>
        </w:rPr>
        <w:t>, sur la recevabilité de la Requête,</w:t>
      </w:r>
      <w:r w:rsidRPr="00FF16BD">
        <w:rPr>
          <w:rFonts w:ascii="Arial" w:eastAsia="Calibri" w:hAnsi="Arial" w:cs="Arial"/>
          <w:sz w:val="24"/>
          <w:szCs w:val="24"/>
          <w:lang w:val="fr-FR"/>
        </w:rPr>
        <w:t xml:space="preserve"> l’État défendeur</w:t>
      </w:r>
      <w:r w:rsidR="005C0766" w:rsidRPr="00FF16BD">
        <w:rPr>
          <w:rFonts w:ascii="Arial" w:eastAsia="Calibri" w:hAnsi="Arial" w:cs="Arial"/>
          <w:sz w:val="24"/>
          <w:szCs w:val="24"/>
          <w:lang w:val="fr-FR"/>
        </w:rPr>
        <w:t xml:space="preserve"> </w:t>
      </w:r>
      <w:r w:rsidR="00E165A7" w:rsidRPr="00FF16BD">
        <w:rPr>
          <w:rFonts w:ascii="Arial" w:hAnsi="Arial" w:cs="Arial"/>
          <w:sz w:val="24"/>
          <w:szCs w:val="24"/>
          <w:lang w:val="fr-FR"/>
        </w:rPr>
        <w:t xml:space="preserve">soulève trois exceptions préliminaires relatives à </w:t>
      </w:r>
      <w:r w:rsidR="005F4D2F" w:rsidRPr="00FF16BD">
        <w:rPr>
          <w:rFonts w:ascii="Arial" w:hAnsi="Arial" w:cs="Arial"/>
          <w:sz w:val="24"/>
          <w:szCs w:val="24"/>
          <w:lang w:val="fr-FR"/>
        </w:rPr>
        <w:t xml:space="preserve">l’épuisement des </w:t>
      </w:r>
      <w:r w:rsidR="00EC536F" w:rsidRPr="00FF16BD">
        <w:rPr>
          <w:rFonts w:ascii="Arial" w:hAnsi="Arial" w:cs="Arial"/>
          <w:sz w:val="24"/>
          <w:szCs w:val="24"/>
          <w:lang w:val="fr-FR"/>
        </w:rPr>
        <w:t xml:space="preserve">voies de </w:t>
      </w:r>
      <w:r w:rsidR="005F4D2F" w:rsidRPr="00FF16BD">
        <w:rPr>
          <w:rFonts w:ascii="Arial" w:hAnsi="Arial" w:cs="Arial"/>
          <w:sz w:val="24"/>
          <w:szCs w:val="24"/>
          <w:lang w:val="fr-FR"/>
        </w:rPr>
        <w:t>recours internes,</w:t>
      </w:r>
      <w:r w:rsidR="008E69C0" w:rsidRPr="00FF16BD">
        <w:rPr>
          <w:rFonts w:ascii="Arial" w:hAnsi="Arial" w:cs="Arial"/>
          <w:sz w:val="24"/>
          <w:szCs w:val="24"/>
          <w:lang w:val="fr-FR"/>
        </w:rPr>
        <w:t xml:space="preserve"> à la saisine tardive et au</w:t>
      </w:r>
      <w:r w:rsidR="005F4D2F" w:rsidRPr="00FF16BD">
        <w:rPr>
          <w:rFonts w:ascii="Arial" w:hAnsi="Arial" w:cs="Arial"/>
          <w:sz w:val="24"/>
          <w:szCs w:val="24"/>
          <w:lang w:val="fr-FR"/>
        </w:rPr>
        <w:t xml:space="preserve"> règlement antérieur du différend conformément aux principes de la Charte des Nations Unies, de l’Acte Constitutif de l’Union </w:t>
      </w:r>
      <w:r w:rsidR="002E0DC9" w:rsidRPr="00FF16BD">
        <w:rPr>
          <w:rFonts w:ascii="Arial" w:hAnsi="Arial" w:cs="Arial"/>
          <w:sz w:val="24"/>
          <w:szCs w:val="24"/>
          <w:lang w:val="fr-FR"/>
        </w:rPr>
        <w:t>A</w:t>
      </w:r>
      <w:r w:rsidR="005F4D2F" w:rsidRPr="00FF16BD">
        <w:rPr>
          <w:rFonts w:ascii="Arial" w:hAnsi="Arial" w:cs="Arial"/>
          <w:sz w:val="24"/>
          <w:szCs w:val="24"/>
          <w:lang w:val="fr-FR"/>
        </w:rPr>
        <w:t xml:space="preserve">fricaine et de la Charte africaine des droits de l’homme et des peuples. </w:t>
      </w:r>
    </w:p>
    <w:p w14:paraId="2ED3FE18" w14:textId="77777777" w:rsidR="002206DA" w:rsidRPr="00FF16BD" w:rsidRDefault="002206DA" w:rsidP="00917627">
      <w:pPr>
        <w:pStyle w:val="ListParagraph"/>
        <w:spacing w:line="360" w:lineRule="auto"/>
        <w:jc w:val="both"/>
        <w:rPr>
          <w:rFonts w:ascii="Arial" w:hAnsi="Arial" w:cs="Arial"/>
          <w:b/>
          <w:sz w:val="24"/>
          <w:szCs w:val="24"/>
          <w:lang w:val="fr-FR"/>
        </w:rPr>
      </w:pPr>
    </w:p>
    <w:p w14:paraId="15C7BDE2" w14:textId="297E7241" w:rsidR="002206DA" w:rsidRPr="00FF16BD" w:rsidRDefault="0095412E" w:rsidP="000439F1">
      <w:pPr>
        <w:pStyle w:val="Heading2"/>
        <w:numPr>
          <w:ilvl w:val="0"/>
          <w:numId w:val="37"/>
        </w:numPr>
        <w:ind w:left="567" w:hanging="567"/>
        <w:rPr>
          <w:rFonts w:ascii="Arial" w:hAnsi="Arial" w:cs="Arial"/>
          <w:color w:val="auto"/>
          <w:lang w:val="fr-FR"/>
        </w:rPr>
      </w:pPr>
      <w:bookmarkStart w:id="9" w:name="_Toc509567809"/>
      <w:r w:rsidRPr="00FF16BD">
        <w:rPr>
          <w:rFonts w:ascii="Arial" w:hAnsi="Arial" w:cs="Arial"/>
          <w:color w:val="auto"/>
          <w:sz w:val="24"/>
          <w:lang w:val="fr-FR"/>
        </w:rPr>
        <w:t>Exception tirée du non-</w:t>
      </w:r>
      <w:r w:rsidR="002736E9" w:rsidRPr="00FF16BD">
        <w:rPr>
          <w:rFonts w:ascii="Arial" w:hAnsi="Arial" w:cs="Arial"/>
          <w:color w:val="auto"/>
          <w:sz w:val="24"/>
          <w:lang w:val="fr-FR"/>
        </w:rPr>
        <w:t>épuisement des</w:t>
      </w:r>
      <w:r w:rsidR="006C0721" w:rsidRPr="00FF16BD">
        <w:rPr>
          <w:rFonts w:ascii="Arial" w:hAnsi="Arial" w:cs="Arial"/>
          <w:color w:val="auto"/>
          <w:sz w:val="24"/>
          <w:lang w:val="fr-FR"/>
        </w:rPr>
        <w:t xml:space="preserve"> voies</w:t>
      </w:r>
      <w:r w:rsidR="002736E9" w:rsidRPr="00FF16BD">
        <w:rPr>
          <w:rFonts w:ascii="Arial" w:hAnsi="Arial" w:cs="Arial"/>
          <w:color w:val="auto"/>
          <w:sz w:val="24"/>
          <w:lang w:val="fr-FR"/>
        </w:rPr>
        <w:t xml:space="preserve"> </w:t>
      </w:r>
      <w:r w:rsidR="00660C5C" w:rsidRPr="00FF16BD">
        <w:rPr>
          <w:rFonts w:ascii="Arial" w:hAnsi="Arial" w:cs="Arial"/>
          <w:color w:val="auto"/>
          <w:sz w:val="24"/>
          <w:lang w:val="fr-FR"/>
        </w:rPr>
        <w:t xml:space="preserve">de </w:t>
      </w:r>
      <w:r w:rsidR="002736E9" w:rsidRPr="00FF16BD">
        <w:rPr>
          <w:rFonts w:ascii="Arial" w:hAnsi="Arial" w:cs="Arial"/>
          <w:color w:val="auto"/>
          <w:sz w:val="24"/>
          <w:lang w:val="fr-FR"/>
        </w:rPr>
        <w:t>recours internes</w:t>
      </w:r>
      <w:bookmarkEnd w:id="9"/>
    </w:p>
    <w:p w14:paraId="2ACC39F1" w14:textId="77777777" w:rsidR="002736E9" w:rsidRPr="00FF16BD" w:rsidRDefault="002736E9" w:rsidP="00917627">
      <w:pPr>
        <w:pStyle w:val="ListParagraph"/>
        <w:spacing w:line="360" w:lineRule="auto"/>
        <w:ind w:left="1080"/>
        <w:jc w:val="both"/>
        <w:rPr>
          <w:rFonts w:ascii="Arial" w:hAnsi="Arial" w:cs="Arial"/>
          <w:b/>
          <w:sz w:val="24"/>
          <w:szCs w:val="24"/>
          <w:lang w:val="fr-FR"/>
        </w:rPr>
      </w:pPr>
    </w:p>
    <w:p w14:paraId="77D7A289" w14:textId="55B118A1" w:rsidR="00A53672" w:rsidRPr="00FF16BD" w:rsidRDefault="00BF0EE5"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w:t>
      </w:r>
      <w:r w:rsidR="005F55DD" w:rsidRPr="00FF16BD">
        <w:rPr>
          <w:rFonts w:ascii="Arial" w:hAnsi="Arial" w:cs="Arial"/>
          <w:sz w:val="24"/>
          <w:szCs w:val="24"/>
          <w:lang w:val="fr-FR"/>
        </w:rPr>
        <w:t xml:space="preserve">’Etat défendeur </w:t>
      </w:r>
      <w:r w:rsidR="0010370A" w:rsidRPr="00FF16BD">
        <w:rPr>
          <w:rFonts w:ascii="Arial" w:hAnsi="Arial" w:cs="Arial"/>
          <w:sz w:val="24"/>
          <w:szCs w:val="24"/>
          <w:lang w:val="fr-FR"/>
        </w:rPr>
        <w:t xml:space="preserve">soutient </w:t>
      </w:r>
      <w:r w:rsidR="003F46CA" w:rsidRPr="00FF16BD">
        <w:rPr>
          <w:rFonts w:ascii="Arial" w:hAnsi="Arial" w:cs="Arial"/>
          <w:sz w:val="24"/>
          <w:szCs w:val="24"/>
          <w:lang w:val="fr-FR"/>
        </w:rPr>
        <w:t xml:space="preserve">qu’en </w:t>
      </w:r>
      <w:r w:rsidR="00A53672" w:rsidRPr="00FF16BD">
        <w:rPr>
          <w:rFonts w:ascii="Arial" w:hAnsi="Arial" w:cs="Arial"/>
          <w:sz w:val="24"/>
          <w:szCs w:val="24"/>
          <w:lang w:val="fr-FR"/>
        </w:rPr>
        <w:t>introduisant</w:t>
      </w:r>
      <w:r w:rsidR="003F46CA" w:rsidRPr="00FF16BD">
        <w:rPr>
          <w:rFonts w:ascii="Arial" w:hAnsi="Arial" w:cs="Arial"/>
          <w:sz w:val="24"/>
          <w:szCs w:val="24"/>
          <w:lang w:val="fr-FR"/>
        </w:rPr>
        <w:t xml:space="preserve"> les actions </w:t>
      </w:r>
      <w:r w:rsidR="00A53672" w:rsidRPr="00FF16BD">
        <w:rPr>
          <w:rFonts w:ascii="Arial" w:hAnsi="Arial" w:cs="Arial"/>
          <w:sz w:val="24"/>
          <w:szCs w:val="24"/>
          <w:lang w:val="fr-FR"/>
        </w:rPr>
        <w:t xml:space="preserve">devant les juridictions internes contre la Compagnie de Gestion et de Participation </w:t>
      </w:r>
      <w:r w:rsidR="00660C5C" w:rsidRPr="00FF16BD">
        <w:rPr>
          <w:rFonts w:ascii="Arial" w:hAnsi="Arial" w:cs="Arial"/>
          <w:sz w:val="24"/>
          <w:szCs w:val="24"/>
          <w:lang w:val="fr-FR"/>
        </w:rPr>
        <w:t>(</w:t>
      </w:r>
      <w:r w:rsidR="00A53672" w:rsidRPr="00FF16BD">
        <w:rPr>
          <w:rFonts w:ascii="Arial" w:hAnsi="Arial" w:cs="Arial"/>
          <w:sz w:val="24"/>
          <w:szCs w:val="24"/>
          <w:lang w:val="fr-FR"/>
        </w:rPr>
        <w:t>CGP</w:t>
      </w:r>
      <w:r w:rsidR="00660C5C" w:rsidRPr="00FF16BD">
        <w:rPr>
          <w:rFonts w:ascii="Arial" w:hAnsi="Arial" w:cs="Arial"/>
          <w:sz w:val="24"/>
          <w:szCs w:val="24"/>
          <w:lang w:val="fr-FR"/>
        </w:rPr>
        <w:t>)</w:t>
      </w:r>
      <w:r w:rsidR="00A53672" w:rsidRPr="00FF16BD">
        <w:rPr>
          <w:rFonts w:ascii="Arial" w:hAnsi="Arial" w:cs="Arial"/>
          <w:sz w:val="24"/>
          <w:szCs w:val="24"/>
          <w:lang w:val="fr-FR"/>
        </w:rPr>
        <w:t>, personne morale de droit privé, le Requérant n’a pas entrepris utilement</w:t>
      </w:r>
      <w:r w:rsidR="007B5A27" w:rsidRPr="00FF16BD">
        <w:rPr>
          <w:rFonts w:ascii="Arial" w:hAnsi="Arial" w:cs="Arial"/>
          <w:sz w:val="24"/>
          <w:szCs w:val="24"/>
          <w:lang w:val="fr-FR"/>
        </w:rPr>
        <w:t xml:space="preserve"> et n’a donc pas épuisé les recours internes</w:t>
      </w:r>
      <w:r w:rsidR="00A53672" w:rsidRPr="00FF16BD">
        <w:rPr>
          <w:rFonts w:ascii="Arial" w:hAnsi="Arial" w:cs="Arial"/>
          <w:sz w:val="24"/>
          <w:szCs w:val="24"/>
          <w:lang w:val="fr-FR"/>
        </w:rPr>
        <w:t xml:space="preserve">. </w:t>
      </w:r>
      <w:r w:rsidR="0010370A" w:rsidRPr="00FF16BD">
        <w:rPr>
          <w:rFonts w:ascii="Arial" w:hAnsi="Arial" w:cs="Arial"/>
          <w:sz w:val="24"/>
          <w:szCs w:val="24"/>
          <w:lang w:val="fr-FR"/>
        </w:rPr>
        <w:t xml:space="preserve">Il </w:t>
      </w:r>
      <w:r w:rsidR="007B5A27" w:rsidRPr="00FF16BD">
        <w:rPr>
          <w:rFonts w:ascii="Arial" w:hAnsi="Arial" w:cs="Arial"/>
          <w:sz w:val="24"/>
          <w:szCs w:val="24"/>
          <w:lang w:val="fr-FR"/>
        </w:rPr>
        <w:t>avance</w:t>
      </w:r>
      <w:r w:rsidR="0010370A" w:rsidRPr="00FF16BD">
        <w:rPr>
          <w:rFonts w:ascii="Arial" w:hAnsi="Arial" w:cs="Arial"/>
          <w:sz w:val="24"/>
          <w:szCs w:val="24"/>
          <w:lang w:val="fr-FR"/>
        </w:rPr>
        <w:t xml:space="preserve"> que</w:t>
      </w:r>
      <w:r w:rsidR="00A53672" w:rsidRPr="00FF16BD">
        <w:rPr>
          <w:rFonts w:ascii="Arial" w:hAnsi="Arial" w:cs="Arial"/>
          <w:sz w:val="24"/>
          <w:szCs w:val="24"/>
          <w:lang w:val="fr-FR"/>
        </w:rPr>
        <w:t xml:space="preserve"> </w:t>
      </w:r>
      <w:r w:rsidR="00795831" w:rsidRPr="00FF16BD">
        <w:rPr>
          <w:rFonts w:ascii="Arial" w:hAnsi="Arial" w:cs="Arial"/>
          <w:sz w:val="24"/>
          <w:szCs w:val="24"/>
          <w:lang w:val="fr-FR"/>
        </w:rPr>
        <w:t>les procédures visant à épuiser l</w:t>
      </w:r>
      <w:r w:rsidR="00A53672" w:rsidRPr="00FF16BD">
        <w:rPr>
          <w:rFonts w:ascii="Arial" w:hAnsi="Arial" w:cs="Arial"/>
          <w:sz w:val="24"/>
          <w:szCs w:val="24"/>
          <w:lang w:val="fr-FR"/>
        </w:rPr>
        <w:t xml:space="preserve">es recours internes </w:t>
      </w:r>
      <w:r w:rsidR="00F94872" w:rsidRPr="00FF16BD">
        <w:rPr>
          <w:rFonts w:ascii="Arial" w:hAnsi="Arial" w:cs="Arial"/>
          <w:sz w:val="24"/>
          <w:szCs w:val="24"/>
          <w:lang w:val="fr-FR"/>
        </w:rPr>
        <w:t>auraient</w:t>
      </w:r>
      <w:r w:rsidR="00A53672" w:rsidRPr="00FF16BD">
        <w:rPr>
          <w:rFonts w:ascii="Arial" w:hAnsi="Arial" w:cs="Arial"/>
          <w:sz w:val="24"/>
          <w:szCs w:val="24"/>
          <w:lang w:val="fr-FR"/>
        </w:rPr>
        <w:t xml:space="preserve"> plutôt</w:t>
      </w:r>
      <w:r w:rsidR="00F94872" w:rsidRPr="00FF16BD">
        <w:rPr>
          <w:rFonts w:ascii="Arial" w:hAnsi="Arial" w:cs="Arial"/>
          <w:sz w:val="24"/>
          <w:szCs w:val="24"/>
          <w:lang w:val="fr-FR"/>
        </w:rPr>
        <w:t xml:space="preserve"> dû</w:t>
      </w:r>
      <w:r w:rsidR="0010370A" w:rsidRPr="00FF16BD">
        <w:rPr>
          <w:rFonts w:ascii="Arial" w:hAnsi="Arial" w:cs="Arial"/>
          <w:sz w:val="24"/>
          <w:szCs w:val="24"/>
          <w:lang w:val="fr-FR"/>
        </w:rPr>
        <w:t xml:space="preserve"> être dirigé</w:t>
      </w:r>
      <w:r w:rsidR="00795831" w:rsidRPr="00FF16BD">
        <w:rPr>
          <w:rFonts w:ascii="Arial" w:hAnsi="Arial" w:cs="Arial"/>
          <w:sz w:val="24"/>
          <w:szCs w:val="24"/>
          <w:lang w:val="fr-FR"/>
        </w:rPr>
        <w:t>es</w:t>
      </w:r>
      <w:r w:rsidR="0010370A" w:rsidRPr="00FF16BD">
        <w:rPr>
          <w:rFonts w:ascii="Arial" w:hAnsi="Arial" w:cs="Arial"/>
          <w:sz w:val="24"/>
          <w:szCs w:val="24"/>
          <w:lang w:val="fr-FR"/>
        </w:rPr>
        <w:t xml:space="preserve"> contre l’Etat ivoirien</w:t>
      </w:r>
      <w:r w:rsidR="00A53672" w:rsidRPr="00FF16BD">
        <w:rPr>
          <w:rFonts w:ascii="Arial" w:hAnsi="Arial" w:cs="Arial"/>
          <w:sz w:val="24"/>
          <w:szCs w:val="24"/>
          <w:lang w:val="fr-FR"/>
        </w:rPr>
        <w:t xml:space="preserve"> au sens des dispositions de</w:t>
      </w:r>
      <w:r w:rsidR="00660C5C" w:rsidRPr="00FF16BD">
        <w:rPr>
          <w:rFonts w:ascii="Arial" w:hAnsi="Arial" w:cs="Arial"/>
          <w:sz w:val="24"/>
          <w:szCs w:val="24"/>
          <w:lang w:val="fr-FR"/>
        </w:rPr>
        <w:t>s</w:t>
      </w:r>
      <w:r w:rsidR="00A53672" w:rsidRPr="00FF16BD">
        <w:rPr>
          <w:rFonts w:ascii="Arial" w:hAnsi="Arial" w:cs="Arial"/>
          <w:sz w:val="24"/>
          <w:szCs w:val="24"/>
          <w:lang w:val="fr-FR"/>
        </w:rPr>
        <w:t xml:space="preserve"> article</w:t>
      </w:r>
      <w:r w:rsidR="00660C5C" w:rsidRPr="00FF16BD">
        <w:rPr>
          <w:rFonts w:ascii="Arial" w:hAnsi="Arial" w:cs="Arial"/>
          <w:sz w:val="24"/>
          <w:szCs w:val="24"/>
          <w:lang w:val="fr-FR"/>
        </w:rPr>
        <w:t>s</w:t>
      </w:r>
      <w:r w:rsidR="00A53672" w:rsidRPr="00FF16BD">
        <w:rPr>
          <w:rFonts w:ascii="Arial" w:hAnsi="Arial" w:cs="Arial"/>
          <w:sz w:val="24"/>
          <w:szCs w:val="24"/>
          <w:lang w:val="fr-FR"/>
        </w:rPr>
        <w:t xml:space="preserve"> 56 de la Charte et 40 du Règlement. </w:t>
      </w:r>
    </w:p>
    <w:p w14:paraId="26834B02" w14:textId="77777777" w:rsidR="00746A87" w:rsidRPr="00FF16BD" w:rsidRDefault="00746A87" w:rsidP="00917627">
      <w:pPr>
        <w:pStyle w:val="ListParagraph"/>
        <w:spacing w:line="360" w:lineRule="auto"/>
        <w:jc w:val="both"/>
        <w:rPr>
          <w:rFonts w:ascii="Arial" w:hAnsi="Arial" w:cs="Arial"/>
          <w:sz w:val="24"/>
          <w:szCs w:val="24"/>
          <w:lang w:val="fr-FR"/>
        </w:rPr>
      </w:pPr>
    </w:p>
    <w:p w14:paraId="1A0F4627" w14:textId="4DF669B9" w:rsidR="00996038" w:rsidRPr="00FF16BD" w:rsidRDefault="00CC394B"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En réponse, le Requérant fait valoir qu’</w:t>
      </w:r>
      <w:r w:rsidR="00EC0FC0" w:rsidRPr="00FF16BD">
        <w:rPr>
          <w:rFonts w:ascii="Arial" w:hAnsi="Arial" w:cs="Arial"/>
          <w:sz w:val="24"/>
          <w:szCs w:val="24"/>
          <w:lang w:val="fr-FR"/>
        </w:rPr>
        <w:t xml:space="preserve">alors que les recours doivent être disponibles et satisfaisants, </w:t>
      </w:r>
      <w:r w:rsidRPr="00FF16BD">
        <w:rPr>
          <w:rFonts w:ascii="Arial" w:hAnsi="Arial" w:cs="Arial"/>
          <w:sz w:val="24"/>
          <w:szCs w:val="24"/>
          <w:lang w:val="fr-FR"/>
        </w:rPr>
        <w:t xml:space="preserve">il n’existe dans le corpus juridique de l’Etat défendeur aucun recours </w:t>
      </w:r>
      <w:r w:rsidR="007B5A27" w:rsidRPr="00FF16BD">
        <w:rPr>
          <w:rFonts w:ascii="Arial" w:hAnsi="Arial" w:cs="Arial"/>
          <w:sz w:val="24"/>
          <w:szCs w:val="24"/>
          <w:lang w:val="fr-FR"/>
        </w:rPr>
        <w:t>relatif</w:t>
      </w:r>
      <w:r w:rsidRPr="00FF16BD">
        <w:rPr>
          <w:rFonts w:ascii="Arial" w:hAnsi="Arial" w:cs="Arial"/>
          <w:sz w:val="24"/>
          <w:szCs w:val="24"/>
          <w:lang w:val="fr-FR"/>
        </w:rPr>
        <w:t xml:space="preserve"> aux situations juridiques soumises à l’appréciation de </w:t>
      </w:r>
      <w:r w:rsidR="007D3583" w:rsidRPr="00FF16BD">
        <w:rPr>
          <w:rFonts w:ascii="Arial" w:hAnsi="Arial" w:cs="Arial"/>
          <w:sz w:val="24"/>
          <w:szCs w:val="24"/>
          <w:lang w:val="fr-FR"/>
        </w:rPr>
        <w:t xml:space="preserve">la </w:t>
      </w:r>
      <w:r w:rsidRPr="00FF16BD">
        <w:rPr>
          <w:rFonts w:ascii="Arial" w:hAnsi="Arial" w:cs="Arial"/>
          <w:sz w:val="24"/>
          <w:szCs w:val="24"/>
          <w:lang w:val="fr-FR"/>
        </w:rPr>
        <w:t>Cour</w:t>
      </w:r>
      <w:r w:rsidR="007D3583" w:rsidRPr="00FF16BD">
        <w:rPr>
          <w:rFonts w:ascii="Arial" w:hAnsi="Arial" w:cs="Arial"/>
          <w:sz w:val="24"/>
          <w:szCs w:val="24"/>
          <w:lang w:val="fr-FR"/>
        </w:rPr>
        <w:t xml:space="preserve"> de céans</w:t>
      </w:r>
      <w:r w:rsidRPr="00FF16BD">
        <w:rPr>
          <w:rFonts w:ascii="Arial" w:hAnsi="Arial" w:cs="Arial"/>
          <w:sz w:val="24"/>
          <w:szCs w:val="24"/>
          <w:lang w:val="fr-FR"/>
        </w:rPr>
        <w:t xml:space="preserve">. </w:t>
      </w:r>
    </w:p>
    <w:p w14:paraId="570317B1" w14:textId="77777777" w:rsidR="00F94872" w:rsidRPr="00FF16BD" w:rsidRDefault="00F94872" w:rsidP="00917627">
      <w:pPr>
        <w:pStyle w:val="ListParagraph"/>
        <w:spacing w:line="360" w:lineRule="auto"/>
        <w:jc w:val="both"/>
        <w:rPr>
          <w:rFonts w:ascii="Arial" w:hAnsi="Arial" w:cs="Arial"/>
          <w:sz w:val="24"/>
          <w:szCs w:val="24"/>
          <w:lang w:val="fr-FR"/>
        </w:rPr>
      </w:pPr>
    </w:p>
    <w:p w14:paraId="2CB0B842" w14:textId="02A5EDF4" w:rsidR="00996038" w:rsidRPr="00FF16BD" w:rsidRDefault="00F94872"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w:t>
      </w:r>
      <w:r w:rsidR="00996038" w:rsidRPr="00FF16BD">
        <w:rPr>
          <w:rFonts w:ascii="Arial" w:hAnsi="Arial" w:cs="Arial"/>
          <w:sz w:val="24"/>
          <w:szCs w:val="24"/>
          <w:lang w:val="fr-FR"/>
        </w:rPr>
        <w:t xml:space="preserve">e Requérant </w:t>
      </w:r>
      <w:r w:rsidRPr="00FF16BD">
        <w:rPr>
          <w:rFonts w:ascii="Arial" w:hAnsi="Arial" w:cs="Arial"/>
          <w:sz w:val="24"/>
          <w:szCs w:val="24"/>
          <w:lang w:val="fr-FR"/>
        </w:rPr>
        <w:t>avance en outre qu</w:t>
      </w:r>
      <w:r w:rsidR="007B5A27" w:rsidRPr="00FF16BD">
        <w:rPr>
          <w:rFonts w:ascii="Arial" w:hAnsi="Arial" w:cs="Arial"/>
          <w:sz w:val="24"/>
          <w:szCs w:val="24"/>
          <w:lang w:val="fr-FR"/>
        </w:rPr>
        <w:t xml:space="preserve">’il a épuisé les </w:t>
      </w:r>
      <w:r w:rsidR="00D7342D" w:rsidRPr="00FF16BD">
        <w:rPr>
          <w:rFonts w:ascii="Arial" w:hAnsi="Arial" w:cs="Arial"/>
          <w:sz w:val="24"/>
          <w:szCs w:val="24"/>
          <w:lang w:val="fr-FR"/>
        </w:rPr>
        <w:t xml:space="preserve">voies de </w:t>
      </w:r>
      <w:r w:rsidR="007B5A27" w:rsidRPr="00FF16BD">
        <w:rPr>
          <w:rFonts w:ascii="Arial" w:hAnsi="Arial" w:cs="Arial"/>
          <w:sz w:val="24"/>
          <w:szCs w:val="24"/>
          <w:lang w:val="fr-FR"/>
        </w:rPr>
        <w:t>recours internes</w:t>
      </w:r>
      <w:r w:rsidRPr="00FF16BD">
        <w:rPr>
          <w:rFonts w:ascii="Arial" w:hAnsi="Arial" w:cs="Arial"/>
          <w:sz w:val="24"/>
          <w:szCs w:val="24"/>
          <w:lang w:val="fr-FR"/>
        </w:rPr>
        <w:t xml:space="preserve"> s’agissant du litige opposant la Société AGRILAND à la Société CGP. Il cite à cet égard les décisions rendues par diverses juridictions internes </w:t>
      </w:r>
      <w:r w:rsidR="00ED58B2" w:rsidRPr="00FF16BD">
        <w:rPr>
          <w:rFonts w:ascii="Arial" w:hAnsi="Arial" w:cs="Arial"/>
          <w:sz w:val="24"/>
          <w:szCs w:val="24"/>
          <w:lang w:val="fr-FR"/>
        </w:rPr>
        <w:t xml:space="preserve">du Tribunal de Divo à la Cour suprême en passant par les Cours d’appel de Daloa et </w:t>
      </w:r>
      <w:r w:rsidR="00ED58B2" w:rsidRPr="00FF16BD">
        <w:rPr>
          <w:rFonts w:ascii="Arial" w:hAnsi="Arial" w:cs="Arial"/>
          <w:sz w:val="24"/>
          <w:szCs w:val="24"/>
          <w:lang w:val="fr-FR"/>
        </w:rPr>
        <w:lastRenderedPageBreak/>
        <w:t xml:space="preserve">d’Abidjan. Le Requérant </w:t>
      </w:r>
      <w:r w:rsidR="007B5A27" w:rsidRPr="00FF16BD">
        <w:rPr>
          <w:rFonts w:ascii="Arial" w:hAnsi="Arial" w:cs="Arial"/>
          <w:sz w:val="24"/>
          <w:szCs w:val="24"/>
          <w:lang w:val="fr-FR"/>
        </w:rPr>
        <w:t xml:space="preserve">fait référence </w:t>
      </w:r>
      <w:r w:rsidR="00ED58B2" w:rsidRPr="00FF16BD">
        <w:rPr>
          <w:rFonts w:ascii="Arial" w:hAnsi="Arial" w:cs="Arial"/>
          <w:sz w:val="24"/>
          <w:szCs w:val="24"/>
          <w:lang w:val="fr-FR"/>
        </w:rPr>
        <w:t>en particulier à l’arrêt No 405/14 du 5 juin 2014 par l</w:t>
      </w:r>
      <w:r w:rsidR="007B5A27" w:rsidRPr="00FF16BD">
        <w:rPr>
          <w:rFonts w:ascii="Arial" w:hAnsi="Arial" w:cs="Arial"/>
          <w:sz w:val="24"/>
          <w:szCs w:val="24"/>
          <w:lang w:val="fr-FR"/>
        </w:rPr>
        <w:t>e</w:t>
      </w:r>
      <w:r w:rsidR="00ED58B2" w:rsidRPr="00FF16BD">
        <w:rPr>
          <w:rFonts w:ascii="Arial" w:hAnsi="Arial" w:cs="Arial"/>
          <w:sz w:val="24"/>
          <w:szCs w:val="24"/>
          <w:lang w:val="fr-FR"/>
        </w:rPr>
        <w:t>quel la 1</w:t>
      </w:r>
      <w:r w:rsidR="00ED58B2" w:rsidRPr="00FF16BD">
        <w:rPr>
          <w:rFonts w:ascii="Arial" w:hAnsi="Arial" w:cs="Arial"/>
          <w:sz w:val="24"/>
          <w:szCs w:val="24"/>
          <w:vertAlign w:val="superscript"/>
          <w:lang w:val="fr-FR"/>
        </w:rPr>
        <w:t>ère</w:t>
      </w:r>
      <w:r w:rsidR="00ED58B2" w:rsidRPr="00FF16BD">
        <w:rPr>
          <w:rFonts w:ascii="Arial" w:hAnsi="Arial" w:cs="Arial"/>
          <w:sz w:val="24"/>
          <w:szCs w:val="24"/>
          <w:lang w:val="fr-FR"/>
        </w:rPr>
        <w:t xml:space="preserve"> Formation Civile B de la Chambre Judiciaire de la Cour suprê</w:t>
      </w:r>
      <w:r w:rsidR="003A2F7B" w:rsidRPr="00FF16BD">
        <w:rPr>
          <w:rFonts w:ascii="Arial" w:hAnsi="Arial" w:cs="Arial"/>
          <w:sz w:val="24"/>
          <w:szCs w:val="24"/>
          <w:lang w:val="fr-FR"/>
        </w:rPr>
        <w:t xml:space="preserve">me </w:t>
      </w:r>
      <w:r w:rsidR="00287612" w:rsidRPr="00FF16BD">
        <w:rPr>
          <w:rFonts w:ascii="Arial" w:hAnsi="Arial" w:cs="Arial"/>
          <w:sz w:val="24"/>
          <w:szCs w:val="24"/>
          <w:lang w:val="fr-FR"/>
        </w:rPr>
        <w:t>a</w:t>
      </w:r>
      <w:r w:rsidR="00C65E5B" w:rsidRPr="00FF16BD">
        <w:rPr>
          <w:rFonts w:ascii="Arial" w:hAnsi="Arial" w:cs="Arial"/>
          <w:sz w:val="24"/>
          <w:szCs w:val="24"/>
          <w:lang w:val="fr-FR"/>
        </w:rPr>
        <w:t>,</w:t>
      </w:r>
      <w:r w:rsidR="00287612" w:rsidRPr="00FF16BD">
        <w:rPr>
          <w:rFonts w:ascii="Arial" w:hAnsi="Arial" w:cs="Arial"/>
          <w:sz w:val="24"/>
          <w:szCs w:val="24"/>
          <w:lang w:val="fr-FR"/>
        </w:rPr>
        <w:t xml:space="preserve"> </w:t>
      </w:r>
      <w:r w:rsidR="00C65E5B" w:rsidRPr="00FF16BD">
        <w:rPr>
          <w:rFonts w:ascii="Arial" w:hAnsi="Arial" w:cs="Arial"/>
          <w:sz w:val="24"/>
          <w:szCs w:val="24"/>
          <w:lang w:val="fr-FR"/>
        </w:rPr>
        <w:t xml:space="preserve">après avoir écarté des débats son mémoire ampliatif, </w:t>
      </w:r>
      <w:r w:rsidR="00287612" w:rsidRPr="00FF16BD">
        <w:rPr>
          <w:rFonts w:ascii="Arial" w:hAnsi="Arial" w:cs="Arial"/>
          <w:sz w:val="24"/>
          <w:szCs w:val="24"/>
          <w:lang w:val="fr-FR"/>
        </w:rPr>
        <w:t>rejeté</w:t>
      </w:r>
      <w:r w:rsidR="003A2F7B" w:rsidRPr="00FF16BD">
        <w:rPr>
          <w:rFonts w:ascii="Arial" w:hAnsi="Arial" w:cs="Arial"/>
          <w:sz w:val="24"/>
          <w:szCs w:val="24"/>
          <w:lang w:val="fr-FR"/>
        </w:rPr>
        <w:t xml:space="preserve"> le pourvoi en c</w:t>
      </w:r>
      <w:r w:rsidR="00ED58B2" w:rsidRPr="00FF16BD">
        <w:rPr>
          <w:rFonts w:ascii="Arial" w:hAnsi="Arial" w:cs="Arial"/>
          <w:sz w:val="24"/>
          <w:szCs w:val="24"/>
          <w:lang w:val="fr-FR"/>
        </w:rPr>
        <w:t xml:space="preserve">assation introduit par </w:t>
      </w:r>
      <w:r w:rsidR="00E92899" w:rsidRPr="00FF16BD">
        <w:rPr>
          <w:rFonts w:ascii="Arial" w:hAnsi="Arial" w:cs="Arial"/>
          <w:sz w:val="24"/>
          <w:szCs w:val="24"/>
          <w:lang w:val="fr-FR"/>
        </w:rPr>
        <w:t>lui</w:t>
      </w:r>
      <w:r w:rsidR="00ED58B2" w:rsidRPr="00FF16BD">
        <w:rPr>
          <w:rFonts w:ascii="Arial" w:hAnsi="Arial" w:cs="Arial"/>
          <w:sz w:val="24"/>
          <w:szCs w:val="24"/>
          <w:lang w:val="fr-FR"/>
        </w:rPr>
        <w:t xml:space="preserve">. </w:t>
      </w:r>
    </w:p>
    <w:p w14:paraId="12997AC5" w14:textId="77777777" w:rsidR="00ED58B2" w:rsidRPr="00FF16BD" w:rsidRDefault="00123269" w:rsidP="00917627">
      <w:pPr>
        <w:pStyle w:val="ListParagraph"/>
        <w:tabs>
          <w:tab w:val="left" w:pos="3443"/>
        </w:tabs>
        <w:spacing w:line="360" w:lineRule="auto"/>
        <w:jc w:val="both"/>
        <w:rPr>
          <w:rFonts w:ascii="Arial" w:hAnsi="Arial" w:cs="Arial"/>
          <w:sz w:val="24"/>
          <w:szCs w:val="24"/>
          <w:lang w:val="fr-FR"/>
        </w:rPr>
      </w:pPr>
      <w:r w:rsidRPr="00FF16BD">
        <w:rPr>
          <w:rFonts w:ascii="Arial" w:hAnsi="Arial" w:cs="Arial"/>
          <w:sz w:val="24"/>
          <w:szCs w:val="24"/>
          <w:lang w:val="fr-FR"/>
        </w:rPr>
        <w:tab/>
      </w:r>
    </w:p>
    <w:p w14:paraId="50DE577C" w14:textId="3C512203" w:rsidR="002D1427" w:rsidRPr="00FF16BD" w:rsidRDefault="008A61C4" w:rsidP="00917627">
      <w:pPr>
        <w:spacing w:line="360" w:lineRule="auto"/>
        <w:jc w:val="center"/>
        <w:rPr>
          <w:rFonts w:ascii="Arial" w:hAnsi="Arial" w:cs="Arial"/>
          <w:sz w:val="24"/>
          <w:szCs w:val="24"/>
          <w:lang w:val="fr-FR"/>
        </w:rPr>
      </w:pPr>
      <w:r w:rsidRPr="00FF16BD">
        <w:rPr>
          <w:rFonts w:ascii="Arial" w:hAnsi="Arial" w:cs="Arial"/>
          <w:sz w:val="24"/>
          <w:szCs w:val="24"/>
          <w:lang w:val="fr-FR"/>
        </w:rPr>
        <w:t>***</w:t>
      </w:r>
    </w:p>
    <w:p w14:paraId="4E2CFD2E" w14:textId="060AADFC" w:rsidR="008A61C4" w:rsidRPr="00FF16BD" w:rsidRDefault="000B5921"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note </w:t>
      </w:r>
      <w:r w:rsidR="008A61C4" w:rsidRPr="00FF16BD">
        <w:rPr>
          <w:rFonts w:ascii="Arial" w:hAnsi="Arial" w:cs="Arial"/>
          <w:sz w:val="24"/>
          <w:szCs w:val="24"/>
          <w:lang w:val="fr-FR"/>
        </w:rPr>
        <w:t xml:space="preserve">qu’il résulte des pièces au dossier que la plus haute juridiction compétente, c’est-à-dire la Cour suprême de Côte d’Ivoire, a rejeté le pourvoi en cassation formé </w:t>
      </w:r>
      <w:r w:rsidR="00795831" w:rsidRPr="00FF16BD">
        <w:rPr>
          <w:rFonts w:ascii="Arial" w:hAnsi="Arial" w:cs="Arial"/>
          <w:sz w:val="24"/>
          <w:szCs w:val="24"/>
          <w:lang w:val="fr-FR"/>
        </w:rPr>
        <w:t>dans cette cause</w:t>
      </w:r>
      <w:r w:rsidR="008A61C4" w:rsidRPr="00FF16BD">
        <w:rPr>
          <w:rFonts w:ascii="Arial" w:hAnsi="Arial" w:cs="Arial"/>
          <w:sz w:val="24"/>
          <w:szCs w:val="24"/>
          <w:lang w:val="fr-FR"/>
        </w:rPr>
        <w:t xml:space="preserve"> mettant ainsi un terme aux procédures devant les juridictions internes. </w:t>
      </w:r>
    </w:p>
    <w:p w14:paraId="2EF9B1BE" w14:textId="77777777" w:rsidR="008A61C4" w:rsidRPr="00FF16BD" w:rsidRDefault="008A61C4" w:rsidP="00E66468">
      <w:pPr>
        <w:pStyle w:val="ListParagraph"/>
        <w:spacing w:line="360" w:lineRule="auto"/>
        <w:jc w:val="both"/>
        <w:rPr>
          <w:rFonts w:ascii="Arial" w:hAnsi="Arial" w:cs="Arial"/>
          <w:sz w:val="24"/>
          <w:szCs w:val="24"/>
          <w:lang w:val="fr-FR"/>
        </w:rPr>
      </w:pPr>
    </w:p>
    <w:p w14:paraId="56B129D1" w14:textId="2472D2DA" w:rsidR="004647E9" w:rsidRPr="00FF16BD" w:rsidRDefault="008A61C4" w:rsidP="009608AD">
      <w:pPr>
        <w:pStyle w:val="ListParagraph"/>
        <w:numPr>
          <w:ilvl w:val="0"/>
          <w:numId w:val="3"/>
        </w:numPr>
        <w:spacing w:line="360" w:lineRule="auto"/>
        <w:jc w:val="both"/>
        <w:rPr>
          <w:rFonts w:ascii="Arial" w:hAnsi="Arial" w:cs="Arial"/>
          <w:lang w:val="fr-FR"/>
        </w:rPr>
      </w:pPr>
      <w:r w:rsidRPr="00FF16BD">
        <w:rPr>
          <w:rFonts w:ascii="Arial" w:hAnsi="Arial" w:cs="Arial"/>
          <w:sz w:val="24"/>
          <w:szCs w:val="24"/>
          <w:lang w:val="fr-FR"/>
        </w:rPr>
        <w:t xml:space="preserve">Cependant, l’Etat défendeur allègue le défaut d’épuisement des </w:t>
      </w:r>
      <w:r w:rsidR="00D7342D" w:rsidRPr="00FF16BD">
        <w:rPr>
          <w:rFonts w:ascii="Arial" w:hAnsi="Arial" w:cs="Arial"/>
          <w:sz w:val="24"/>
          <w:szCs w:val="24"/>
          <w:lang w:val="fr-FR"/>
        </w:rPr>
        <w:t xml:space="preserve">voies de </w:t>
      </w:r>
      <w:r w:rsidRPr="00FF16BD">
        <w:rPr>
          <w:rFonts w:ascii="Arial" w:hAnsi="Arial" w:cs="Arial"/>
          <w:sz w:val="24"/>
          <w:szCs w:val="24"/>
          <w:lang w:val="fr-FR"/>
        </w:rPr>
        <w:t xml:space="preserve">recours internes </w:t>
      </w:r>
      <w:r w:rsidR="000F4005" w:rsidRPr="00FF16BD">
        <w:rPr>
          <w:rFonts w:ascii="Arial" w:hAnsi="Arial" w:cs="Arial"/>
          <w:sz w:val="24"/>
          <w:szCs w:val="24"/>
          <w:lang w:val="fr-FR"/>
        </w:rPr>
        <w:t>au motif</w:t>
      </w:r>
      <w:r w:rsidRPr="00FF16BD">
        <w:rPr>
          <w:rFonts w:ascii="Arial" w:hAnsi="Arial" w:cs="Arial"/>
          <w:sz w:val="24"/>
          <w:szCs w:val="24"/>
          <w:lang w:val="fr-FR"/>
        </w:rPr>
        <w:t xml:space="preserve"> que les procédures y afférentes étaient dirigées contre une entité privée. </w:t>
      </w:r>
      <w:r w:rsidR="00123269" w:rsidRPr="00FF16BD">
        <w:rPr>
          <w:rFonts w:ascii="Arial" w:hAnsi="Arial" w:cs="Arial"/>
          <w:sz w:val="24"/>
          <w:szCs w:val="24"/>
          <w:lang w:val="fr-FR"/>
        </w:rPr>
        <w:t>Sur ce point</w:t>
      </w:r>
      <w:r w:rsidR="0011083C" w:rsidRPr="00FF16BD">
        <w:rPr>
          <w:rFonts w:ascii="Arial" w:hAnsi="Arial" w:cs="Arial"/>
          <w:sz w:val="24"/>
          <w:szCs w:val="24"/>
          <w:lang w:val="fr-FR"/>
        </w:rPr>
        <w:t xml:space="preserve">, la Cour fait observer </w:t>
      </w:r>
      <w:r w:rsidRPr="00FF16BD">
        <w:rPr>
          <w:rFonts w:ascii="Arial" w:hAnsi="Arial" w:cs="Arial"/>
          <w:sz w:val="24"/>
          <w:szCs w:val="24"/>
          <w:lang w:val="fr-FR"/>
        </w:rPr>
        <w:t>que</w:t>
      </w:r>
      <w:r w:rsidR="00114C97" w:rsidRPr="00FF16BD">
        <w:rPr>
          <w:rFonts w:ascii="Arial" w:hAnsi="Arial" w:cs="Arial"/>
          <w:sz w:val="24"/>
          <w:szCs w:val="24"/>
          <w:lang w:val="fr-FR"/>
        </w:rPr>
        <w:t xml:space="preserve"> l’épuisement des </w:t>
      </w:r>
      <w:r w:rsidR="00D7342D" w:rsidRPr="00FF16BD">
        <w:rPr>
          <w:rFonts w:ascii="Arial" w:hAnsi="Arial" w:cs="Arial"/>
          <w:sz w:val="24"/>
          <w:szCs w:val="24"/>
          <w:lang w:val="fr-FR"/>
        </w:rPr>
        <w:t xml:space="preserve">voies de </w:t>
      </w:r>
      <w:r w:rsidR="00114C97" w:rsidRPr="00FF16BD">
        <w:rPr>
          <w:rFonts w:ascii="Arial" w:hAnsi="Arial" w:cs="Arial"/>
          <w:sz w:val="24"/>
          <w:szCs w:val="24"/>
          <w:lang w:val="fr-FR"/>
        </w:rPr>
        <w:t>recours internes procède de l’u</w:t>
      </w:r>
      <w:r w:rsidRPr="00FF16BD">
        <w:rPr>
          <w:rFonts w:ascii="Arial" w:hAnsi="Arial" w:cs="Arial"/>
          <w:sz w:val="24"/>
          <w:szCs w:val="24"/>
          <w:lang w:val="fr-FR"/>
        </w:rPr>
        <w:t>tilisation</w:t>
      </w:r>
      <w:r w:rsidR="00114C97" w:rsidRPr="00FF16BD">
        <w:rPr>
          <w:rFonts w:ascii="Arial" w:hAnsi="Arial" w:cs="Arial"/>
          <w:sz w:val="24"/>
          <w:szCs w:val="24"/>
          <w:lang w:val="fr-FR"/>
        </w:rPr>
        <w:t xml:space="preserve"> de tous les moyens procéduraux </w:t>
      </w:r>
      <w:r w:rsidR="00FB5986" w:rsidRPr="00FF16BD">
        <w:rPr>
          <w:rFonts w:ascii="Arial" w:hAnsi="Arial" w:cs="Arial"/>
          <w:sz w:val="24"/>
          <w:szCs w:val="24"/>
          <w:lang w:val="fr-FR"/>
        </w:rPr>
        <w:t xml:space="preserve">utiles </w:t>
      </w:r>
      <w:r w:rsidR="00114C97" w:rsidRPr="00FF16BD">
        <w:rPr>
          <w:rFonts w:ascii="Arial" w:hAnsi="Arial" w:cs="Arial"/>
          <w:sz w:val="24"/>
          <w:szCs w:val="24"/>
          <w:lang w:val="fr-FR"/>
        </w:rPr>
        <w:t xml:space="preserve">prévus dans le corpus juridique de l’Etat défendeur à l’effet de régler le différend porté devant les </w:t>
      </w:r>
      <w:r w:rsidR="00AB5096" w:rsidRPr="00FF16BD">
        <w:rPr>
          <w:rFonts w:ascii="Arial" w:hAnsi="Arial" w:cs="Arial"/>
          <w:sz w:val="24"/>
          <w:szCs w:val="24"/>
          <w:lang w:val="fr-FR"/>
        </w:rPr>
        <w:t>autorités nationales compétentes</w:t>
      </w:r>
      <w:r w:rsidR="001026AE" w:rsidRPr="00FF16BD">
        <w:rPr>
          <w:rStyle w:val="FootnoteReference"/>
          <w:rFonts w:ascii="Arial" w:hAnsi="Arial" w:cs="Arial"/>
          <w:sz w:val="24"/>
          <w:szCs w:val="24"/>
          <w:lang w:val="fr-FR"/>
        </w:rPr>
        <w:footnoteReference w:id="2"/>
      </w:r>
      <w:r w:rsidR="00114C97" w:rsidRPr="00FF16BD">
        <w:rPr>
          <w:rFonts w:ascii="Arial" w:hAnsi="Arial" w:cs="Arial"/>
          <w:sz w:val="24"/>
          <w:szCs w:val="24"/>
          <w:lang w:val="fr-FR"/>
        </w:rPr>
        <w:t xml:space="preserve">. Pris dans ce sens, les recours internes </w:t>
      </w:r>
      <w:r w:rsidR="00F9173D" w:rsidRPr="00FF16BD">
        <w:rPr>
          <w:rFonts w:ascii="Arial" w:hAnsi="Arial" w:cs="Arial"/>
          <w:sz w:val="24"/>
          <w:szCs w:val="24"/>
          <w:lang w:val="fr-FR"/>
        </w:rPr>
        <w:t xml:space="preserve">sont </w:t>
      </w:r>
      <w:r w:rsidR="00114C97" w:rsidRPr="00FF16BD">
        <w:rPr>
          <w:rFonts w:ascii="Arial" w:hAnsi="Arial" w:cs="Arial"/>
          <w:sz w:val="24"/>
          <w:szCs w:val="24"/>
          <w:lang w:val="fr-FR"/>
        </w:rPr>
        <w:t>censé</w:t>
      </w:r>
      <w:r w:rsidR="00F9173D" w:rsidRPr="00FF16BD">
        <w:rPr>
          <w:rFonts w:ascii="Arial" w:hAnsi="Arial" w:cs="Arial"/>
          <w:sz w:val="24"/>
          <w:szCs w:val="24"/>
          <w:lang w:val="fr-FR"/>
        </w:rPr>
        <w:t>s</w:t>
      </w:r>
      <w:r w:rsidR="00114C97" w:rsidRPr="00FF16BD">
        <w:rPr>
          <w:rFonts w:ascii="Arial" w:hAnsi="Arial" w:cs="Arial"/>
          <w:sz w:val="24"/>
          <w:szCs w:val="24"/>
          <w:lang w:val="fr-FR"/>
        </w:rPr>
        <w:t xml:space="preserve"> être dirigé</w:t>
      </w:r>
      <w:r w:rsidR="00F9173D" w:rsidRPr="00FF16BD">
        <w:rPr>
          <w:rFonts w:ascii="Arial" w:hAnsi="Arial" w:cs="Arial"/>
          <w:sz w:val="24"/>
          <w:szCs w:val="24"/>
          <w:lang w:val="fr-FR"/>
        </w:rPr>
        <w:t xml:space="preserve">s </w:t>
      </w:r>
      <w:r w:rsidR="00114C97" w:rsidRPr="00FF16BD">
        <w:rPr>
          <w:rFonts w:ascii="Arial" w:hAnsi="Arial" w:cs="Arial"/>
          <w:sz w:val="24"/>
          <w:szCs w:val="24"/>
          <w:lang w:val="fr-FR"/>
        </w:rPr>
        <w:t xml:space="preserve">contre l’entité considérée par le plaignant comme responsable de la violation </w:t>
      </w:r>
      <w:r w:rsidR="007D3583" w:rsidRPr="00FF16BD">
        <w:rPr>
          <w:rFonts w:ascii="Arial" w:hAnsi="Arial" w:cs="Arial"/>
          <w:sz w:val="24"/>
          <w:szCs w:val="24"/>
          <w:lang w:val="fr-FR"/>
        </w:rPr>
        <w:t>alléguée</w:t>
      </w:r>
      <w:r w:rsidR="008C22B3" w:rsidRPr="00FF16BD">
        <w:rPr>
          <w:rFonts w:ascii="Arial" w:hAnsi="Arial" w:cs="Arial"/>
          <w:sz w:val="24"/>
          <w:szCs w:val="24"/>
          <w:lang w:val="fr-FR"/>
        </w:rPr>
        <w:t xml:space="preserve"> qu’il s’agisse d’un particulier</w:t>
      </w:r>
      <w:r w:rsidR="007D3583" w:rsidRPr="00FF16BD">
        <w:rPr>
          <w:rFonts w:ascii="Arial" w:hAnsi="Arial" w:cs="Arial"/>
          <w:sz w:val="24"/>
          <w:szCs w:val="24"/>
          <w:lang w:val="fr-FR"/>
        </w:rPr>
        <w:t xml:space="preserve"> ou </w:t>
      </w:r>
      <w:r w:rsidR="008C22B3" w:rsidRPr="00FF16BD">
        <w:rPr>
          <w:rFonts w:ascii="Arial" w:hAnsi="Arial" w:cs="Arial"/>
          <w:sz w:val="24"/>
          <w:szCs w:val="24"/>
          <w:lang w:val="fr-FR"/>
        </w:rPr>
        <w:t>d’une personne morale de droit privé ou public tel</w:t>
      </w:r>
      <w:r w:rsidR="00AB5096" w:rsidRPr="00FF16BD">
        <w:rPr>
          <w:rFonts w:ascii="Arial" w:hAnsi="Arial" w:cs="Arial"/>
          <w:sz w:val="24"/>
          <w:szCs w:val="24"/>
          <w:lang w:val="fr-FR"/>
        </w:rPr>
        <w:t>le</w:t>
      </w:r>
      <w:r w:rsidR="008C22B3" w:rsidRPr="00FF16BD">
        <w:rPr>
          <w:rFonts w:ascii="Arial" w:hAnsi="Arial" w:cs="Arial"/>
          <w:sz w:val="24"/>
          <w:szCs w:val="24"/>
          <w:lang w:val="fr-FR"/>
        </w:rPr>
        <w:t xml:space="preserve"> que l’Etat. </w:t>
      </w:r>
    </w:p>
    <w:p w14:paraId="659E0A05" w14:textId="77777777" w:rsidR="008127CF" w:rsidRPr="00FF16BD" w:rsidRDefault="008127CF" w:rsidP="00917627">
      <w:pPr>
        <w:pStyle w:val="ListParagraph"/>
        <w:spacing w:line="360" w:lineRule="auto"/>
        <w:jc w:val="both"/>
        <w:rPr>
          <w:rFonts w:ascii="Arial" w:hAnsi="Arial" w:cs="Arial"/>
          <w:sz w:val="24"/>
          <w:szCs w:val="24"/>
          <w:lang w:val="fr-FR"/>
        </w:rPr>
      </w:pPr>
    </w:p>
    <w:p w14:paraId="7AF34C83" w14:textId="352B0AC7" w:rsidR="00071EB4" w:rsidRPr="00FF16BD" w:rsidRDefault="008C22B3"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En l’espèce, la Cour relève que le différend initial opposait la Société AGRILAND</w:t>
      </w:r>
      <w:r w:rsidR="00660C5C" w:rsidRPr="00FF16BD">
        <w:rPr>
          <w:rFonts w:ascii="Arial" w:hAnsi="Arial" w:cs="Arial"/>
          <w:sz w:val="24"/>
          <w:szCs w:val="24"/>
          <w:lang w:val="fr-FR"/>
        </w:rPr>
        <w:t>,</w:t>
      </w:r>
      <w:r w:rsidRPr="00FF16BD">
        <w:rPr>
          <w:rFonts w:ascii="Arial" w:hAnsi="Arial" w:cs="Arial"/>
          <w:sz w:val="24"/>
          <w:szCs w:val="24"/>
          <w:lang w:val="fr-FR"/>
        </w:rPr>
        <w:t xml:space="preserve"> dont </w:t>
      </w:r>
      <w:r w:rsidR="00660C5C" w:rsidRPr="00FF16BD">
        <w:rPr>
          <w:rFonts w:ascii="Arial" w:hAnsi="Arial" w:cs="Arial"/>
          <w:sz w:val="24"/>
          <w:szCs w:val="24"/>
          <w:lang w:val="fr-FR"/>
        </w:rPr>
        <w:t>le Requérant</w:t>
      </w:r>
      <w:r w:rsidRPr="00FF16BD">
        <w:rPr>
          <w:rFonts w:ascii="Arial" w:hAnsi="Arial" w:cs="Arial"/>
          <w:sz w:val="24"/>
          <w:szCs w:val="24"/>
          <w:lang w:val="fr-FR"/>
        </w:rPr>
        <w:t xml:space="preserve"> </w:t>
      </w:r>
      <w:r w:rsidR="00071EB4" w:rsidRPr="00FF16BD">
        <w:rPr>
          <w:rFonts w:ascii="Arial" w:hAnsi="Arial" w:cs="Arial"/>
          <w:sz w:val="24"/>
          <w:szCs w:val="24"/>
          <w:lang w:val="fr-FR"/>
        </w:rPr>
        <w:t xml:space="preserve">allègue être </w:t>
      </w:r>
      <w:r w:rsidRPr="00FF16BD">
        <w:rPr>
          <w:rFonts w:ascii="Arial" w:hAnsi="Arial" w:cs="Arial"/>
          <w:sz w:val="24"/>
          <w:szCs w:val="24"/>
          <w:lang w:val="fr-FR"/>
        </w:rPr>
        <w:t xml:space="preserve">le fondateur et actionnaire majoritaire, à la Société CGP. Les deux </w:t>
      </w:r>
      <w:r w:rsidR="006C0721" w:rsidRPr="00FF16BD">
        <w:rPr>
          <w:rFonts w:ascii="Arial" w:hAnsi="Arial" w:cs="Arial"/>
          <w:sz w:val="24"/>
          <w:szCs w:val="24"/>
          <w:lang w:val="fr-FR"/>
        </w:rPr>
        <w:t>parties</w:t>
      </w:r>
      <w:r w:rsidR="007D3583" w:rsidRPr="00FF16BD">
        <w:rPr>
          <w:rFonts w:ascii="Arial" w:hAnsi="Arial" w:cs="Arial"/>
          <w:sz w:val="24"/>
          <w:szCs w:val="24"/>
          <w:lang w:val="fr-FR"/>
        </w:rPr>
        <w:t xml:space="preserve"> </w:t>
      </w:r>
      <w:r w:rsidRPr="00FF16BD">
        <w:rPr>
          <w:rFonts w:ascii="Arial" w:hAnsi="Arial" w:cs="Arial"/>
          <w:sz w:val="24"/>
          <w:szCs w:val="24"/>
          <w:lang w:val="fr-FR"/>
        </w:rPr>
        <w:t xml:space="preserve">étant des personnes morales de droit privé, les procédures internes n’auraient pas pu être dirigées contre l’Etat </w:t>
      </w:r>
      <w:r w:rsidR="00592369" w:rsidRPr="00FF16BD">
        <w:rPr>
          <w:rFonts w:ascii="Arial" w:hAnsi="Arial" w:cs="Arial"/>
          <w:sz w:val="24"/>
          <w:szCs w:val="24"/>
          <w:lang w:val="fr-FR"/>
        </w:rPr>
        <w:t xml:space="preserve">de Côte d’Ivoire </w:t>
      </w:r>
      <w:r w:rsidRPr="00FF16BD">
        <w:rPr>
          <w:rFonts w:ascii="Arial" w:hAnsi="Arial" w:cs="Arial"/>
          <w:sz w:val="24"/>
          <w:szCs w:val="24"/>
          <w:lang w:val="fr-FR"/>
        </w:rPr>
        <w:t xml:space="preserve">à moins de prouver sa responsabilité. </w:t>
      </w:r>
      <w:r w:rsidR="00071EB4" w:rsidRPr="00FF16BD">
        <w:rPr>
          <w:rFonts w:ascii="Arial" w:hAnsi="Arial" w:cs="Arial"/>
          <w:sz w:val="24"/>
          <w:szCs w:val="24"/>
          <w:lang w:val="fr-FR"/>
        </w:rPr>
        <w:t xml:space="preserve">C’est donc à juste titre que les procédures devant les juridictions internes visaient la Société CGP et non l’Etat. </w:t>
      </w:r>
    </w:p>
    <w:p w14:paraId="62CB309A" w14:textId="77777777" w:rsidR="00071EB4" w:rsidRPr="00FF16BD" w:rsidRDefault="00071EB4" w:rsidP="00917627">
      <w:pPr>
        <w:pStyle w:val="ListParagraph"/>
        <w:spacing w:line="360" w:lineRule="auto"/>
        <w:jc w:val="both"/>
        <w:rPr>
          <w:rFonts w:ascii="Arial" w:hAnsi="Arial" w:cs="Arial"/>
          <w:sz w:val="24"/>
          <w:szCs w:val="24"/>
          <w:lang w:val="fr-FR"/>
        </w:rPr>
      </w:pPr>
    </w:p>
    <w:p w14:paraId="28147D42" w14:textId="62C159B0" w:rsidR="00A61406" w:rsidRPr="00FF16BD" w:rsidRDefault="00071EB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lastRenderedPageBreak/>
        <w:t xml:space="preserve">En revanche, </w:t>
      </w:r>
      <w:r w:rsidR="00A61406" w:rsidRPr="00FF16BD">
        <w:rPr>
          <w:rFonts w:ascii="Arial" w:hAnsi="Arial" w:cs="Arial"/>
          <w:sz w:val="24"/>
          <w:szCs w:val="24"/>
          <w:lang w:val="fr-FR"/>
        </w:rPr>
        <w:t xml:space="preserve">dans la procédure devant </w:t>
      </w:r>
      <w:r w:rsidR="007D3583" w:rsidRPr="00FF16BD">
        <w:rPr>
          <w:rFonts w:ascii="Arial" w:hAnsi="Arial" w:cs="Arial"/>
          <w:sz w:val="24"/>
          <w:szCs w:val="24"/>
          <w:lang w:val="fr-FR"/>
        </w:rPr>
        <w:t xml:space="preserve">la </w:t>
      </w:r>
      <w:r w:rsidR="00A61406" w:rsidRPr="00FF16BD">
        <w:rPr>
          <w:rFonts w:ascii="Arial" w:hAnsi="Arial" w:cs="Arial"/>
          <w:sz w:val="24"/>
          <w:szCs w:val="24"/>
          <w:lang w:val="fr-FR"/>
        </w:rPr>
        <w:t>Cour</w:t>
      </w:r>
      <w:r w:rsidR="007D3583" w:rsidRPr="00FF16BD">
        <w:rPr>
          <w:rFonts w:ascii="Arial" w:hAnsi="Arial" w:cs="Arial"/>
          <w:sz w:val="24"/>
          <w:szCs w:val="24"/>
          <w:lang w:val="fr-FR"/>
        </w:rPr>
        <w:t xml:space="preserve"> de céans</w:t>
      </w:r>
      <w:r w:rsidR="00A61406" w:rsidRPr="00FF16BD">
        <w:rPr>
          <w:rFonts w:ascii="Arial" w:hAnsi="Arial" w:cs="Arial"/>
          <w:sz w:val="24"/>
          <w:szCs w:val="24"/>
          <w:lang w:val="fr-FR"/>
        </w:rPr>
        <w:t>, le Requérant invoque la responsabilité de l’Etat défendeur pour violation par les juridictions int</w:t>
      </w:r>
      <w:r w:rsidR="0091775A" w:rsidRPr="00FF16BD">
        <w:rPr>
          <w:rFonts w:ascii="Arial" w:hAnsi="Arial" w:cs="Arial"/>
          <w:sz w:val="24"/>
          <w:szCs w:val="24"/>
          <w:lang w:val="fr-FR"/>
        </w:rPr>
        <w:t xml:space="preserve">ernes de ses droits </w:t>
      </w:r>
      <w:r w:rsidR="00660C5C" w:rsidRPr="00FF16BD">
        <w:rPr>
          <w:rFonts w:ascii="Arial" w:hAnsi="Arial" w:cs="Arial"/>
          <w:sz w:val="24"/>
          <w:szCs w:val="24"/>
          <w:lang w:val="fr-FR"/>
        </w:rPr>
        <w:t>garantis par</w:t>
      </w:r>
      <w:r w:rsidR="00A61406" w:rsidRPr="00FF16BD">
        <w:rPr>
          <w:rFonts w:ascii="Arial" w:hAnsi="Arial" w:cs="Arial"/>
          <w:sz w:val="24"/>
          <w:szCs w:val="24"/>
          <w:lang w:val="fr-FR"/>
        </w:rPr>
        <w:t xml:space="preserve"> la Charte. Sur ce point, l’Etat défendeur ne conteste pas que toutes les voies de recours disponibles</w:t>
      </w:r>
      <w:r w:rsidR="00092AB4" w:rsidRPr="00FF16BD">
        <w:rPr>
          <w:rFonts w:ascii="Arial" w:hAnsi="Arial" w:cs="Arial"/>
          <w:sz w:val="24"/>
          <w:szCs w:val="24"/>
          <w:lang w:val="fr-FR"/>
        </w:rPr>
        <w:t xml:space="preserve"> </w:t>
      </w:r>
      <w:r w:rsidR="00795831" w:rsidRPr="00FF16BD">
        <w:rPr>
          <w:rFonts w:ascii="Arial" w:hAnsi="Arial" w:cs="Arial"/>
          <w:sz w:val="24"/>
          <w:szCs w:val="24"/>
          <w:lang w:val="fr-FR"/>
        </w:rPr>
        <w:t xml:space="preserve">ont été épuisées </w:t>
      </w:r>
      <w:r w:rsidR="00092AB4" w:rsidRPr="00FF16BD">
        <w:rPr>
          <w:rFonts w:ascii="Arial" w:hAnsi="Arial" w:cs="Arial"/>
          <w:sz w:val="24"/>
          <w:szCs w:val="24"/>
          <w:lang w:val="fr-FR"/>
        </w:rPr>
        <w:t xml:space="preserve">puisque l’arrêt de la Cour suprême </w:t>
      </w:r>
      <w:r w:rsidR="00E8386D" w:rsidRPr="00FF16BD">
        <w:rPr>
          <w:rFonts w:ascii="Arial" w:hAnsi="Arial" w:cs="Arial"/>
          <w:sz w:val="24"/>
          <w:szCs w:val="24"/>
          <w:lang w:val="fr-FR"/>
        </w:rPr>
        <w:t>était insusceptible</w:t>
      </w:r>
      <w:r w:rsidR="00092AB4" w:rsidRPr="00FF16BD">
        <w:rPr>
          <w:rFonts w:ascii="Arial" w:hAnsi="Arial" w:cs="Arial"/>
          <w:sz w:val="24"/>
          <w:szCs w:val="24"/>
          <w:lang w:val="fr-FR"/>
        </w:rPr>
        <w:t xml:space="preserve"> d</w:t>
      </w:r>
      <w:r w:rsidR="00640D79" w:rsidRPr="00FF16BD">
        <w:rPr>
          <w:rFonts w:ascii="Arial" w:hAnsi="Arial" w:cs="Arial"/>
          <w:sz w:val="24"/>
          <w:szCs w:val="24"/>
          <w:lang w:val="fr-FR"/>
        </w:rPr>
        <w:t>e recours</w:t>
      </w:r>
      <w:r w:rsidR="00A61406" w:rsidRPr="00FF16BD">
        <w:rPr>
          <w:rFonts w:ascii="Arial" w:hAnsi="Arial" w:cs="Arial"/>
          <w:sz w:val="24"/>
          <w:szCs w:val="24"/>
          <w:lang w:val="fr-FR"/>
        </w:rPr>
        <w:t xml:space="preserve">. </w:t>
      </w:r>
    </w:p>
    <w:p w14:paraId="35160360" w14:textId="77777777" w:rsidR="00A61406" w:rsidRPr="00FF16BD" w:rsidRDefault="00A61406" w:rsidP="00917627">
      <w:pPr>
        <w:pStyle w:val="ListParagraph"/>
        <w:spacing w:line="360" w:lineRule="auto"/>
        <w:jc w:val="both"/>
        <w:rPr>
          <w:rFonts w:ascii="Arial" w:hAnsi="Arial" w:cs="Arial"/>
          <w:sz w:val="24"/>
          <w:szCs w:val="24"/>
          <w:lang w:val="fr-FR"/>
        </w:rPr>
      </w:pPr>
    </w:p>
    <w:p w14:paraId="603215C6" w14:textId="3F88E0A8" w:rsidR="00C52E79" w:rsidRPr="00FF16BD" w:rsidRDefault="00D24DC2" w:rsidP="007D3583">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D</w:t>
      </w:r>
      <w:r w:rsidR="007D3583" w:rsidRPr="00FF16BD">
        <w:rPr>
          <w:rFonts w:ascii="Arial" w:hAnsi="Arial" w:cs="Arial"/>
          <w:sz w:val="24"/>
          <w:szCs w:val="24"/>
          <w:lang w:val="fr-FR"/>
        </w:rPr>
        <w:t xml:space="preserve">e ce qui précède, la Cour conclut que les </w:t>
      </w:r>
      <w:r w:rsidR="00EC536F" w:rsidRPr="00FF16BD">
        <w:rPr>
          <w:rFonts w:ascii="Arial" w:hAnsi="Arial" w:cs="Arial"/>
          <w:sz w:val="24"/>
          <w:szCs w:val="24"/>
          <w:lang w:val="fr-FR"/>
        </w:rPr>
        <w:t xml:space="preserve">voies de </w:t>
      </w:r>
      <w:r w:rsidR="007D3583" w:rsidRPr="00FF16BD">
        <w:rPr>
          <w:rFonts w:ascii="Arial" w:hAnsi="Arial" w:cs="Arial"/>
          <w:sz w:val="24"/>
          <w:szCs w:val="24"/>
          <w:lang w:val="fr-FR"/>
        </w:rPr>
        <w:t>recours internes ont été épuisé</w:t>
      </w:r>
      <w:r w:rsidR="00EC536F" w:rsidRPr="00FF16BD">
        <w:rPr>
          <w:rFonts w:ascii="Arial" w:hAnsi="Arial" w:cs="Arial"/>
          <w:b/>
          <w:sz w:val="24"/>
          <w:szCs w:val="24"/>
          <w:lang w:val="fr-FR"/>
        </w:rPr>
        <w:t>e</w:t>
      </w:r>
      <w:r w:rsidR="007D3583" w:rsidRPr="00FF16BD">
        <w:rPr>
          <w:rFonts w:ascii="Arial" w:hAnsi="Arial" w:cs="Arial"/>
          <w:sz w:val="24"/>
          <w:szCs w:val="24"/>
          <w:lang w:val="fr-FR"/>
        </w:rPr>
        <w:t>s</w:t>
      </w:r>
      <w:r w:rsidR="007D3583" w:rsidRPr="00FF16BD" w:rsidDel="007D3583">
        <w:rPr>
          <w:rFonts w:ascii="Arial" w:hAnsi="Arial" w:cs="Arial"/>
          <w:sz w:val="24"/>
          <w:szCs w:val="24"/>
          <w:lang w:val="fr-FR"/>
        </w:rPr>
        <w:t xml:space="preserve"> </w:t>
      </w:r>
      <w:r w:rsidR="007D3583" w:rsidRPr="00FF16BD">
        <w:rPr>
          <w:rFonts w:ascii="Arial" w:hAnsi="Arial" w:cs="Arial"/>
          <w:sz w:val="24"/>
          <w:szCs w:val="24"/>
          <w:lang w:val="fr-FR"/>
        </w:rPr>
        <w:t xml:space="preserve">et </w:t>
      </w:r>
      <w:r w:rsidR="00924231" w:rsidRPr="00FF16BD">
        <w:rPr>
          <w:rFonts w:ascii="Arial" w:hAnsi="Arial" w:cs="Arial"/>
          <w:sz w:val="24"/>
          <w:szCs w:val="24"/>
          <w:lang w:val="fr-FR"/>
        </w:rPr>
        <w:t xml:space="preserve">rejette l’exception d’irrecevabilité </w:t>
      </w:r>
      <w:r w:rsidR="007D3583" w:rsidRPr="00FF16BD">
        <w:rPr>
          <w:rFonts w:ascii="Arial" w:hAnsi="Arial" w:cs="Arial"/>
          <w:sz w:val="24"/>
          <w:szCs w:val="24"/>
          <w:lang w:val="fr-FR"/>
        </w:rPr>
        <w:t>soulevée à cet égard</w:t>
      </w:r>
      <w:r w:rsidR="00C52E79" w:rsidRPr="00FF16BD">
        <w:rPr>
          <w:rFonts w:ascii="Arial" w:hAnsi="Arial" w:cs="Arial"/>
          <w:sz w:val="24"/>
          <w:szCs w:val="24"/>
          <w:lang w:val="fr-FR"/>
        </w:rPr>
        <w:t xml:space="preserve">. </w:t>
      </w:r>
    </w:p>
    <w:p w14:paraId="7C7A28CA" w14:textId="77777777" w:rsidR="002D1427" w:rsidRPr="00FF16BD" w:rsidRDefault="002D1427" w:rsidP="00917627">
      <w:pPr>
        <w:pStyle w:val="ListParagraph"/>
        <w:spacing w:line="360" w:lineRule="auto"/>
        <w:jc w:val="both"/>
        <w:rPr>
          <w:rFonts w:ascii="Arial" w:hAnsi="Arial" w:cs="Arial"/>
          <w:sz w:val="24"/>
          <w:szCs w:val="24"/>
          <w:lang w:val="fr-FR"/>
        </w:rPr>
      </w:pPr>
    </w:p>
    <w:p w14:paraId="757BC1BE" w14:textId="7180EB95" w:rsidR="002736E9" w:rsidRPr="00FF16BD" w:rsidRDefault="002736E9" w:rsidP="000439F1">
      <w:pPr>
        <w:pStyle w:val="Heading2"/>
        <w:numPr>
          <w:ilvl w:val="0"/>
          <w:numId w:val="37"/>
        </w:numPr>
        <w:ind w:left="567" w:hanging="567"/>
        <w:rPr>
          <w:rFonts w:ascii="Arial" w:hAnsi="Arial" w:cs="Arial"/>
          <w:color w:val="auto"/>
          <w:sz w:val="24"/>
          <w:lang w:val="fr-FR"/>
        </w:rPr>
      </w:pPr>
      <w:bookmarkStart w:id="10" w:name="_Toc509567810"/>
      <w:r w:rsidRPr="00FF16BD">
        <w:rPr>
          <w:rFonts w:ascii="Arial" w:hAnsi="Arial" w:cs="Arial"/>
          <w:color w:val="auto"/>
          <w:sz w:val="24"/>
          <w:lang w:val="fr-FR"/>
        </w:rPr>
        <w:t>Exception tirée d</w:t>
      </w:r>
      <w:r w:rsidR="00072D84" w:rsidRPr="00FF16BD">
        <w:rPr>
          <w:rFonts w:ascii="Arial" w:hAnsi="Arial" w:cs="Arial"/>
          <w:color w:val="auto"/>
          <w:sz w:val="24"/>
          <w:lang w:val="fr-FR"/>
        </w:rPr>
        <w:t>u défaut d</w:t>
      </w:r>
      <w:r w:rsidR="00F75BB3" w:rsidRPr="00FF16BD">
        <w:rPr>
          <w:rFonts w:ascii="Arial" w:hAnsi="Arial" w:cs="Arial"/>
          <w:color w:val="auto"/>
          <w:sz w:val="24"/>
          <w:lang w:val="fr-FR"/>
        </w:rPr>
        <w:t>’introduction de la Requête dans un délai raisonnable</w:t>
      </w:r>
      <w:bookmarkEnd w:id="10"/>
      <w:r w:rsidR="00F75BB3" w:rsidRPr="00FF16BD">
        <w:rPr>
          <w:rFonts w:ascii="Arial" w:hAnsi="Arial" w:cs="Arial"/>
          <w:color w:val="auto"/>
          <w:sz w:val="24"/>
          <w:lang w:val="fr-FR"/>
        </w:rPr>
        <w:t xml:space="preserve"> </w:t>
      </w:r>
    </w:p>
    <w:p w14:paraId="27C499AD" w14:textId="77777777" w:rsidR="002736E9" w:rsidRPr="00FF16BD" w:rsidRDefault="002736E9" w:rsidP="00917627">
      <w:pPr>
        <w:pStyle w:val="ListParagraph"/>
        <w:spacing w:line="360" w:lineRule="auto"/>
        <w:jc w:val="both"/>
        <w:rPr>
          <w:rFonts w:ascii="Arial" w:hAnsi="Arial" w:cs="Arial"/>
          <w:b/>
          <w:sz w:val="24"/>
          <w:szCs w:val="24"/>
          <w:lang w:val="fr-FR"/>
        </w:rPr>
      </w:pPr>
    </w:p>
    <w:p w14:paraId="3C483ADE" w14:textId="2020F679" w:rsidR="002260B8" w:rsidRPr="00FF16BD" w:rsidRDefault="00970975"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Dans son mémoire en réponse, </w:t>
      </w:r>
      <w:r w:rsidR="00420EA6" w:rsidRPr="00FF16BD">
        <w:rPr>
          <w:rFonts w:ascii="Arial" w:hAnsi="Arial" w:cs="Arial"/>
          <w:sz w:val="24"/>
          <w:szCs w:val="24"/>
          <w:lang w:val="fr-FR"/>
        </w:rPr>
        <w:t xml:space="preserve">l’Etat </w:t>
      </w:r>
      <w:r w:rsidR="007D3583" w:rsidRPr="00FF16BD">
        <w:rPr>
          <w:rFonts w:ascii="Arial" w:hAnsi="Arial" w:cs="Arial"/>
          <w:sz w:val="24"/>
          <w:szCs w:val="24"/>
          <w:lang w:val="fr-FR"/>
        </w:rPr>
        <w:t>défendeur</w:t>
      </w:r>
      <w:r w:rsidR="00420EA6" w:rsidRPr="00FF16BD">
        <w:rPr>
          <w:rFonts w:ascii="Arial" w:hAnsi="Arial" w:cs="Arial"/>
          <w:sz w:val="24"/>
          <w:szCs w:val="24"/>
          <w:lang w:val="fr-FR"/>
        </w:rPr>
        <w:t xml:space="preserve"> reconnaît à la Cour « le pouvoir souverain</w:t>
      </w:r>
      <w:r w:rsidR="002260B8" w:rsidRPr="00FF16BD">
        <w:rPr>
          <w:rFonts w:ascii="Arial" w:hAnsi="Arial" w:cs="Arial"/>
          <w:sz w:val="24"/>
          <w:szCs w:val="24"/>
          <w:lang w:val="fr-FR"/>
        </w:rPr>
        <w:t xml:space="preserve"> d’appréciation du délai dans lequel devraient être introduites les requêtes</w:t>
      </w:r>
      <w:r w:rsidR="00B92EE6" w:rsidRPr="00FF16BD">
        <w:rPr>
          <w:rFonts w:ascii="Arial" w:hAnsi="Arial" w:cs="Arial"/>
          <w:sz w:val="24"/>
          <w:szCs w:val="24"/>
          <w:lang w:val="fr-FR"/>
        </w:rPr>
        <w:t> »</w:t>
      </w:r>
      <w:r w:rsidR="002260B8" w:rsidRPr="00FF16BD">
        <w:rPr>
          <w:rFonts w:ascii="Arial" w:hAnsi="Arial" w:cs="Arial"/>
          <w:sz w:val="24"/>
          <w:szCs w:val="24"/>
          <w:lang w:val="fr-FR"/>
        </w:rPr>
        <w:t xml:space="preserve">. </w:t>
      </w:r>
      <w:r w:rsidR="00B5349A" w:rsidRPr="00FF16BD">
        <w:rPr>
          <w:rFonts w:ascii="Arial" w:hAnsi="Arial" w:cs="Arial"/>
          <w:sz w:val="24"/>
          <w:szCs w:val="24"/>
          <w:lang w:val="fr-FR"/>
        </w:rPr>
        <w:t xml:space="preserve"> </w:t>
      </w:r>
    </w:p>
    <w:p w14:paraId="3A073941" w14:textId="77777777" w:rsidR="002260B8" w:rsidRPr="00FF16BD" w:rsidRDefault="002260B8" w:rsidP="00917627">
      <w:pPr>
        <w:pStyle w:val="ListParagraph"/>
        <w:spacing w:line="360" w:lineRule="auto"/>
        <w:jc w:val="both"/>
        <w:rPr>
          <w:rFonts w:ascii="Arial" w:hAnsi="Arial" w:cs="Arial"/>
          <w:sz w:val="24"/>
          <w:szCs w:val="24"/>
          <w:lang w:val="fr-FR"/>
        </w:rPr>
      </w:pPr>
    </w:p>
    <w:p w14:paraId="422C4DF3" w14:textId="159AB320" w:rsidR="00B94D36" w:rsidRPr="00FF16BD" w:rsidRDefault="000F4005"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Il allègue c</w:t>
      </w:r>
      <w:r w:rsidR="002260B8" w:rsidRPr="00FF16BD">
        <w:rPr>
          <w:rFonts w:ascii="Arial" w:hAnsi="Arial" w:cs="Arial"/>
          <w:sz w:val="24"/>
          <w:szCs w:val="24"/>
          <w:lang w:val="fr-FR"/>
        </w:rPr>
        <w:t xml:space="preserve">ependant </w:t>
      </w:r>
      <w:r w:rsidR="00F9173D" w:rsidRPr="00FF16BD">
        <w:rPr>
          <w:rFonts w:ascii="Arial" w:hAnsi="Arial" w:cs="Arial"/>
          <w:sz w:val="24"/>
          <w:szCs w:val="24"/>
          <w:lang w:val="fr-FR"/>
        </w:rPr>
        <w:t xml:space="preserve">que la présente Requête n’a pas été introduite dans un délai raisonnable. Il </w:t>
      </w:r>
      <w:r w:rsidRPr="00FF16BD">
        <w:rPr>
          <w:rFonts w:ascii="Arial" w:hAnsi="Arial" w:cs="Arial"/>
          <w:sz w:val="24"/>
          <w:szCs w:val="24"/>
          <w:lang w:val="fr-FR"/>
        </w:rPr>
        <w:t>avance</w:t>
      </w:r>
      <w:r w:rsidR="00F9173D" w:rsidRPr="00FF16BD">
        <w:rPr>
          <w:rFonts w:ascii="Arial" w:hAnsi="Arial" w:cs="Arial"/>
          <w:sz w:val="24"/>
          <w:szCs w:val="24"/>
          <w:lang w:val="fr-FR"/>
        </w:rPr>
        <w:t xml:space="preserve"> à cet égard </w:t>
      </w:r>
      <w:r w:rsidRPr="00FF16BD">
        <w:rPr>
          <w:rFonts w:ascii="Arial" w:hAnsi="Arial" w:cs="Arial"/>
          <w:sz w:val="24"/>
          <w:szCs w:val="24"/>
          <w:lang w:val="fr-FR"/>
        </w:rPr>
        <w:t xml:space="preserve">le fait </w:t>
      </w:r>
      <w:r w:rsidR="00970975" w:rsidRPr="00FF16BD">
        <w:rPr>
          <w:rFonts w:ascii="Arial" w:hAnsi="Arial" w:cs="Arial"/>
          <w:sz w:val="24"/>
          <w:szCs w:val="24"/>
          <w:lang w:val="fr-FR"/>
        </w:rPr>
        <w:t xml:space="preserve">qu’alors que l’arrêt de la Cour suprême </w:t>
      </w:r>
      <w:r w:rsidR="00290E63" w:rsidRPr="00FF16BD">
        <w:rPr>
          <w:rFonts w:ascii="Arial" w:hAnsi="Arial" w:cs="Arial"/>
          <w:sz w:val="24"/>
          <w:szCs w:val="24"/>
          <w:lang w:val="fr-FR"/>
        </w:rPr>
        <w:t xml:space="preserve">auquel </w:t>
      </w:r>
      <w:r w:rsidR="00970975" w:rsidRPr="00FF16BD">
        <w:rPr>
          <w:rFonts w:ascii="Arial" w:hAnsi="Arial" w:cs="Arial"/>
          <w:sz w:val="24"/>
          <w:szCs w:val="24"/>
          <w:lang w:val="fr-FR"/>
        </w:rPr>
        <w:t xml:space="preserve">la Requête </w:t>
      </w:r>
      <w:r w:rsidR="00290E63" w:rsidRPr="00FF16BD">
        <w:rPr>
          <w:rFonts w:ascii="Arial" w:hAnsi="Arial" w:cs="Arial"/>
          <w:sz w:val="24"/>
          <w:szCs w:val="24"/>
          <w:lang w:val="fr-FR"/>
        </w:rPr>
        <w:t xml:space="preserve">fait référence </w:t>
      </w:r>
      <w:r w:rsidR="00970975" w:rsidRPr="00FF16BD">
        <w:rPr>
          <w:rFonts w:ascii="Arial" w:hAnsi="Arial" w:cs="Arial"/>
          <w:sz w:val="24"/>
          <w:szCs w:val="24"/>
          <w:lang w:val="fr-FR"/>
        </w:rPr>
        <w:t xml:space="preserve">a été rendu le 5 juin 2014, la Cour </w:t>
      </w:r>
      <w:r w:rsidR="00F9173D" w:rsidRPr="00FF16BD">
        <w:rPr>
          <w:rFonts w:ascii="Arial" w:hAnsi="Arial" w:cs="Arial"/>
          <w:sz w:val="24"/>
          <w:szCs w:val="24"/>
          <w:lang w:val="fr-FR"/>
        </w:rPr>
        <w:t xml:space="preserve">de céans </w:t>
      </w:r>
      <w:r w:rsidR="00970975" w:rsidRPr="00FF16BD">
        <w:rPr>
          <w:rFonts w:ascii="Arial" w:hAnsi="Arial" w:cs="Arial"/>
          <w:sz w:val="24"/>
          <w:szCs w:val="24"/>
          <w:lang w:val="fr-FR"/>
        </w:rPr>
        <w:t xml:space="preserve">n’a été saisie que le 11 juillet 2016 soit deux ans et un mois plus tard. </w:t>
      </w:r>
    </w:p>
    <w:p w14:paraId="38B74D3A" w14:textId="77777777" w:rsidR="00420EA6" w:rsidRPr="00FF16BD" w:rsidRDefault="00420EA6" w:rsidP="00917627">
      <w:pPr>
        <w:pStyle w:val="ListParagraph"/>
        <w:spacing w:line="360" w:lineRule="auto"/>
        <w:jc w:val="both"/>
        <w:rPr>
          <w:rFonts w:ascii="Arial" w:hAnsi="Arial" w:cs="Arial"/>
          <w:sz w:val="24"/>
          <w:szCs w:val="24"/>
          <w:lang w:val="fr-FR"/>
        </w:rPr>
      </w:pPr>
    </w:p>
    <w:p w14:paraId="6B1A7DC3" w14:textId="7BA62B7A" w:rsidR="00CB0730" w:rsidRPr="00FF16BD" w:rsidRDefault="00CB0730"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En réponse, le Requérant rappelle que l</w:t>
      </w:r>
      <w:r w:rsidR="0046107B" w:rsidRPr="00FF16BD">
        <w:rPr>
          <w:rFonts w:ascii="Arial" w:hAnsi="Arial" w:cs="Arial"/>
          <w:sz w:val="24"/>
          <w:szCs w:val="24"/>
          <w:lang w:val="fr-FR"/>
        </w:rPr>
        <w:t>es dispositions de l’article 40(6) du Règlement n’enferme</w:t>
      </w:r>
      <w:r w:rsidR="009B56EE" w:rsidRPr="00FF16BD">
        <w:rPr>
          <w:rFonts w:ascii="Arial" w:hAnsi="Arial" w:cs="Arial"/>
          <w:sz w:val="24"/>
          <w:szCs w:val="24"/>
          <w:lang w:val="fr-FR"/>
        </w:rPr>
        <w:t>nt</w:t>
      </w:r>
      <w:r w:rsidR="0046107B" w:rsidRPr="00FF16BD">
        <w:rPr>
          <w:rFonts w:ascii="Arial" w:hAnsi="Arial" w:cs="Arial"/>
          <w:sz w:val="24"/>
          <w:szCs w:val="24"/>
          <w:lang w:val="fr-FR"/>
        </w:rPr>
        <w:t xml:space="preserve"> pas les actions devant </w:t>
      </w:r>
      <w:r w:rsidR="00494A89" w:rsidRPr="00FF16BD">
        <w:rPr>
          <w:rFonts w:ascii="Arial" w:hAnsi="Arial" w:cs="Arial"/>
          <w:sz w:val="24"/>
          <w:szCs w:val="24"/>
          <w:lang w:val="fr-FR"/>
        </w:rPr>
        <w:t xml:space="preserve">la Cour de céans </w:t>
      </w:r>
      <w:r w:rsidR="0046107B" w:rsidRPr="00FF16BD">
        <w:rPr>
          <w:rFonts w:ascii="Arial" w:hAnsi="Arial" w:cs="Arial"/>
          <w:sz w:val="24"/>
          <w:szCs w:val="24"/>
          <w:lang w:val="fr-FR"/>
        </w:rPr>
        <w:t xml:space="preserve">dans un délai au-delà duquel </w:t>
      </w:r>
      <w:r w:rsidR="00290E63" w:rsidRPr="00FF16BD">
        <w:rPr>
          <w:rFonts w:ascii="Arial" w:hAnsi="Arial" w:cs="Arial"/>
          <w:sz w:val="24"/>
          <w:szCs w:val="24"/>
          <w:lang w:val="fr-FR"/>
        </w:rPr>
        <w:t xml:space="preserve">la Requête </w:t>
      </w:r>
      <w:r w:rsidR="0046107B" w:rsidRPr="00FF16BD">
        <w:rPr>
          <w:rFonts w:ascii="Arial" w:hAnsi="Arial" w:cs="Arial"/>
          <w:sz w:val="24"/>
          <w:szCs w:val="24"/>
          <w:lang w:val="fr-FR"/>
        </w:rPr>
        <w:t xml:space="preserve">serait tardive et irrecevable. </w:t>
      </w:r>
      <w:r w:rsidRPr="00FF16BD">
        <w:rPr>
          <w:rFonts w:ascii="Arial" w:hAnsi="Arial" w:cs="Arial"/>
          <w:sz w:val="24"/>
          <w:szCs w:val="24"/>
          <w:lang w:val="fr-FR"/>
        </w:rPr>
        <w:t xml:space="preserve">Selon le Requérant, </w:t>
      </w:r>
      <w:r w:rsidR="00537624" w:rsidRPr="00FF16BD">
        <w:rPr>
          <w:rFonts w:ascii="Arial" w:hAnsi="Arial" w:cs="Arial"/>
          <w:sz w:val="24"/>
          <w:szCs w:val="24"/>
          <w:lang w:val="fr-FR"/>
        </w:rPr>
        <w:t xml:space="preserve">l’article 56(7) de la Charte lui </w:t>
      </w:r>
      <w:r w:rsidRPr="00FF16BD">
        <w:rPr>
          <w:rFonts w:ascii="Arial" w:hAnsi="Arial" w:cs="Arial"/>
          <w:sz w:val="24"/>
          <w:szCs w:val="24"/>
          <w:lang w:val="fr-FR"/>
        </w:rPr>
        <w:t>offrait l’option de saisir d’abord la Cour de justice de la CEDEAO « avant d’aller au plan continental »</w:t>
      </w:r>
      <w:r w:rsidR="00435499" w:rsidRPr="00FF16BD">
        <w:rPr>
          <w:rFonts w:ascii="Arial" w:hAnsi="Arial" w:cs="Arial"/>
          <w:sz w:val="24"/>
          <w:szCs w:val="24"/>
          <w:lang w:val="fr-FR"/>
        </w:rPr>
        <w:t xml:space="preserve"> [sic].</w:t>
      </w:r>
      <w:r w:rsidRPr="00FF16BD">
        <w:rPr>
          <w:rFonts w:ascii="Arial" w:hAnsi="Arial" w:cs="Arial"/>
          <w:sz w:val="24"/>
          <w:szCs w:val="24"/>
          <w:lang w:val="fr-FR"/>
        </w:rPr>
        <w:t xml:space="preserve"> </w:t>
      </w:r>
      <w:r w:rsidR="00E200E7" w:rsidRPr="00FF16BD">
        <w:rPr>
          <w:rFonts w:ascii="Arial" w:hAnsi="Arial" w:cs="Arial"/>
          <w:sz w:val="24"/>
          <w:szCs w:val="24"/>
          <w:lang w:val="fr-FR"/>
        </w:rPr>
        <w:t xml:space="preserve">Le Requérant allègue </w:t>
      </w:r>
      <w:r w:rsidRPr="00FF16BD">
        <w:rPr>
          <w:rFonts w:ascii="Arial" w:hAnsi="Arial" w:cs="Arial"/>
          <w:sz w:val="24"/>
          <w:szCs w:val="24"/>
          <w:lang w:val="fr-FR"/>
        </w:rPr>
        <w:t xml:space="preserve">en conséquence </w:t>
      </w:r>
      <w:r w:rsidR="00E200E7" w:rsidRPr="00FF16BD">
        <w:rPr>
          <w:rFonts w:ascii="Arial" w:hAnsi="Arial" w:cs="Arial"/>
          <w:sz w:val="24"/>
          <w:szCs w:val="24"/>
          <w:lang w:val="fr-FR"/>
        </w:rPr>
        <w:t xml:space="preserve">que </w:t>
      </w:r>
      <w:r w:rsidRPr="00FF16BD">
        <w:rPr>
          <w:rFonts w:ascii="Arial" w:hAnsi="Arial" w:cs="Arial"/>
          <w:sz w:val="24"/>
          <w:szCs w:val="24"/>
          <w:lang w:val="fr-FR"/>
        </w:rPr>
        <w:t>le délai mis en cause par l’Etat défendeur est parfaitement raisonnable d’autant qu’il s’agit du temps qu’a duré la procédure devant la Cour de justice de la CEDEAO.</w:t>
      </w:r>
    </w:p>
    <w:p w14:paraId="72579DEB" w14:textId="77777777" w:rsidR="00CB0730" w:rsidRPr="00FF16BD" w:rsidRDefault="00CB0730" w:rsidP="00917627">
      <w:pPr>
        <w:pStyle w:val="ListParagraph"/>
        <w:spacing w:line="360" w:lineRule="auto"/>
        <w:jc w:val="both"/>
        <w:rPr>
          <w:rFonts w:ascii="Arial" w:hAnsi="Arial" w:cs="Arial"/>
          <w:sz w:val="24"/>
          <w:szCs w:val="24"/>
          <w:lang w:val="fr-FR"/>
        </w:rPr>
      </w:pPr>
    </w:p>
    <w:p w14:paraId="265238C8" w14:textId="77777777" w:rsidR="00435499" w:rsidRPr="00FF16BD" w:rsidRDefault="00435499" w:rsidP="00435499">
      <w:pPr>
        <w:spacing w:line="360" w:lineRule="auto"/>
        <w:jc w:val="center"/>
        <w:rPr>
          <w:rFonts w:ascii="Arial" w:hAnsi="Arial" w:cs="Arial"/>
          <w:sz w:val="24"/>
          <w:szCs w:val="24"/>
          <w:lang w:val="fr-FR"/>
        </w:rPr>
      </w:pPr>
      <w:r w:rsidRPr="00FF16BD">
        <w:rPr>
          <w:rFonts w:ascii="Arial" w:hAnsi="Arial" w:cs="Arial"/>
          <w:sz w:val="24"/>
          <w:szCs w:val="24"/>
          <w:lang w:val="fr-FR"/>
        </w:rPr>
        <w:t>***</w:t>
      </w:r>
    </w:p>
    <w:p w14:paraId="662AA288" w14:textId="77777777" w:rsidR="00CB0730" w:rsidRPr="00FF16BD" w:rsidRDefault="00CB0730" w:rsidP="00917627">
      <w:pPr>
        <w:pStyle w:val="ListParagraph"/>
        <w:spacing w:line="360" w:lineRule="auto"/>
        <w:jc w:val="both"/>
        <w:rPr>
          <w:rFonts w:ascii="Arial" w:hAnsi="Arial" w:cs="Arial"/>
          <w:sz w:val="24"/>
          <w:szCs w:val="24"/>
          <w:lang w:val="fr-FR"/>
        </w:rPr>
      </w:pPr>
    </w:p>
    <w:p w14:paraId="0CAA2B47" w14:textId="75E6DE3B" w:rsidR="00CB0730" w:rsidRPr="00FF16BD" w:rsidRDefault="00D24DC2"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lastRenderedPageBreak/>
        <w:t>En vertu</w:t>
      </w:r>
      <w:r w:rsidR="00CB0730" w:rsidRPr="00FF16BD">
        <w:rPr>
          <w:rFonts w:ascii="Arial" w:hAnsi="Arial" w:cs="Arial"/>
          <w:sz w:val="24"/>
          <w:szCs w:val="24"/>
          <w:lang w:val="fr-FR"/>
        </w:rPr>
        <w:t xml:space="preserve"> de l’</w:t>
      </w:r>
      <w:r w:rsidR="0002246D" w:rsidRPr="00FF16BD">
        <w:rPr>
          <w:rFonts w:ascii="Arial" w:hAnsi="Arial" w:cs="Arial"/>
          <w:sz w:val="24"/>
          <w:szCs w:val="24"/>
          <w:lang w:val="fr-FR"/>
        </w:rPr>
        <w:t>article 56(6</w:t>
      </w:r>
      <w:r w:rsidR="00CB0730" w:rsidRPr="00FF16BD">
        <w:rPr>
          <w:rFonts w:ascii="Arial" w:hAnsi="Arial" w:cs="Arial"/>
          <w:sz w:val="24"/>
          <w:szCs w:val="24"/>
          <w:lang w:val="fr-FR"/>
        </w:rPr>
        <w:t xml:space="preserve">) de la Charte, </w:t>
      </w:r>
      <w:r w:rsidR="00907CD5" w:rsidRPr="00FF16BD">
        <w:rPr>
          <w:rFonts w:ascii="Arial" w:hAnsi="Arial" w:cs="Arial"/>
          <w:sz w:val="24"/>
          <w:szCs w:val="24"/>
          <w:lang w:val="fr-FR"/>
        </w:rPr>
        <w:t xml:space="preserve">les requêtes </w:t>
      </w:r>
      <w:r w:rsidR="00494A89" w:rsidRPr="00FF16BD">
        <w:rPr>
          <w:rFonts w:ascii="Arial" w:hAnsi="Arial" w:cs="Arial"/>
          <w:sz w:val="24"/>
          <w:szCs w:val="24"/>
          <w:lang w:val="fr-FR"/>
        </w:rPr>
        <w:t xml:space="preserve">devant la Cour de céans </w:t>
      </w:r>
      <w:r w:rsidR="00907CD5" w:rsidRPr="00FF16BD">
        <w:rPr>
          <w:rFonts w:ascii="Arial" w:hAnsi="Arial" w:cs="Arial"/>
          <w:sz w:val="24"/>
          <w:szCs w:val="24"/>
          <w:lang w:val="fr-FR"/>
        </w:rPr>
        <w:t xml:space="preserve">doivent « </w:t>
      </w:r>
      <w:r w:rsidR="00CB0730" w:rsidRPr="00FF16BD">
        <w:rPr>
          <w:rFonts w:ascii="Arial" w:hAnsi="Arial" w:cs="Arial"/>
          <w:sz w:val="24"/>
          <w:szCs w:val="24"/>
          <w:lang w:val="fr-FR"/>
        </w:rPr>
        <w:t xml:space="preserve">être </w:t>
      </w:r>
      <w:r w:rsidR="00EE3C87" w:rsidRPr="00FF16BD">
        <w:rPr>
          <w:rFonts w:ascii="Arial" w:hAnsi="Arial" w:cs="Arial"/>
          <w:sz w:val="24"/>
          <w:szCs w:val="24"/>
          <w:lang w:val="fr-FR"/>
        </w:rPr>
        <w:t xml:space="preserve">introduites dans un délai raisonnable courant depuis l’épuisement des recours internes ou depuis la date retenue par la Cour comme faisant commencer à courir le délai de sa propre saisine ». </w:t>
      </w:r>
    </w:p>
    <w:p w14:paraId="774AFD89" w14:textId="77777777" w:rsidR="00EE3C87" w:rsidRPr="00FF16BD" w:rsidRDefault="00EE3C87" w:rsidP="00917627">
      <w:pPr>
        <w:pStyle w:val="ListParagraph"/>
        <w:spacing w:line="360" w:lineRule="auto"/>
        <w:jc w:val="both"/>
        <w:rPr>
          <w:rFonts w:ascii="Arial" w:hAnsi="Arial" w:cs="Arial"/>
          <w:sz w:val="24"/>
          <w:szCs w:val="24"/>
          <w:lang w:val="fr-FR"/>
        </w:rPr>
      </w:pPr>
    </w:p>
    <w:p w14:paraId="01262237" w14:textId="72259445" w:rsidR="00FE48C6" w:rsidRPr="00FF16BD" w:rsidRDefault="00AF1BF1" w:rsidP="00F33A82">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observe, comme elle l’a conclu plus haut, que les voies de recours internes ont été épuisées dans la présente Requête. Le point de départ pour la computation du délai raisonnable prévu à l’article 56(6) est par conséquent la date de l’arrêt </w:t>
      </w:r>
      <w:r w:rsidR="00494A89" w:rsidRPr="00FF16BD">
        <w:rPr>
          <w:rFonts w:ascii="Arial" w:hAnsi="Arial" w:cs="Arial"/>
          <w:sz w:val="24"/>
          <w:szCs w:val="24"/>
          <w:lang w:val="fr-FR"/>
        </w:rPr>
        <w:t>de</w:t>
      </w:r>
      <w:r w:rsidRPr="00FF16BD">
        <w:rPr>
          <w:rFonts w:ascii="Arial" w:hAnsi="Arial" w:cs="Arial"/>
          <w:sz w:val="24"/>
          <w:szCs w:val="24"/>
          <w:lang w:val="fr-FR"/>
        </w:rPr>
        <w:t xml:space="preserve"> la Cour suprême</w:t>
      </w:r>
      <w:r w:rsidR="00494A89" w:rsidRPr="00FF16BD">
        <w:rPr>
          <w:rFonts w:ascii="Arial" w:hAnsi="Arial" w:cs="Arial"/>
          <w:sz w:val="24"/>
          <w:szCs w:val="24"/>
          <w:lang w:val="fr-FR"/>
        </w:rPr>
        <w:t>, c’est-à-dire</w:t>
      </w:r>
      <w:r w:rsidRPr="00FF16BD">
        <w:rPr>
          <w:rFonts w:ascii="Arial" w:hAnsi="Arial" w:cs="Arial"/>
          <w:sz w:val="24"/>
          <w:szCs w:val="24"/>
          <w:lang w:val="fr-FR"/>
        </w:rPr>
        <w:t xml:space="preserve"> le 5 juin 2014. </w:t>
      </w:r>
    </w:p>
    <w:p w14:paraId="789C03E8" w14:textId="77777777" w:rsidR="00FE48C6" w:rsidRPr="00FF16BD" w:rsidRDefault="00FE48C6" w:rsidP="00F33A82">
      <w:pPr>
        <w:pStyle w:val="ListParagraph"/>
        <w:spacing w:line="360" w:lineRule="auto"/>
        <w:jc w:val="both"/>
        <w:rPr>
          <w:rFonts w:ascii="Arial" w:hAnsi="Arial" w:cs="Arial"/>
          <w:sz w:val="24"/>
          <w:szCs w:val="24"/>
          <w:lang w:val="fr-FR"/>
        </w:rPr>
      </w:pPr>
    </w:p>
    <w:p w14:paraId="5193CB56" w14:textId="3091F6A6" w:rsidR="00BF6D2B" w:rsidRPr="00FF16BD" w:rsidRDefault="00D7342D" w:rsidP="00F33A82">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rappelle qu’elle a été saisie de la présente Requête le 11 juillet 2016. </w:t>
      </w:r>
      <w:r w:rsidR="00E478AA" w:rsidRPr="00FF16BD">
        <w:rPr>
          <w:rFonts w:ascii="Arial" w:hAnsi="Arial" w:cs="Arial"/>
          <w:sz w:val="24"/>
          <w:szCs w:val="24"/>
          <w:lang w:val="fr-FR"/>
        </w:rPr>
        <w:t xml:space="preserve">En notant que le délai écoulé entre </w:t>
      </w:r>
      <w:r w:rsidRPr="00FF16BD">
        <w:rPr>
          <w:rFonts w:ascii="Arial" w:hAnsi="Arial" w:cs="Arial"/>
          <w:sz w:val="24"/>
          <w:szCs w:val="24"/>
          <w:lang w:val="fr-FR"/>
        </w:rPr>
        <w:t xml:space="preserve">la date de l’épuisement des recours internes </w:t>
      </w:r>
      <w:r w:rsidR="00E478AA" w:rsidRPr="00FF16BD">
        <w:rPr>
          <w:rFonts w:ascii="Arial" w:hAnsi="Arial" w:cs="Arial"/>
          <w:sz w:val="24"/>
          <w:szCs w:val="24"/>
          <w:lang w:val="fr-FR"/>
        </w:rPr>
        <w:t xml:space="preserve">et </w:t>
      </w:r>
      <w:r w:rsidRPr="00FF16BD">
        <w:rPr>
          <w:rFonts w:ascii="Arial" w:hAnsi="Arial" w:cs="Arial"/>
          <w:sz w:val="24"/>
          <w:szCs w:val="24"/>
          <w:lang w:val="fr-FR"/>
        </w:rPr>
        <w:t xml:space="preserve">celle de </w:t>
      </w:r>
      <w:r w:rsidR="00E478AA" w:rsidRPr="00FF16BD">
        <w:rPr>
          <w:rFonts w:ascii="Arial" w:hAnsi="Arial" w:cs="Arial"/>
          <w:sz w:val="24"/>
          <w:szCs w:val="24"/>
          <w:lang w:val="fr-FR"/>
        </w:rPr>
        <w:t xml:space="preserve">sa saisine est de deux ans et un mois, il revient à la Cour de céans de déterminer si un tel délai est raisonnable au sens de l’article 56(6) de la Charte. </w:t>
      </w:r>
      <w:r w:rsidR="00345BD0" w:rsidRPr="00FF16BD">
        <w:rPr>
          <w:rFonts w:ascii="Arial" w:hAnsi="Arial" w:cs="Arial"/>
          <w:sz w:val="24"/>
          <w:szCs w:val="24"/>
          <w:lang w:val="fr-FR"/>
        </w:rPr>
        <w:t>Dans</w:t>
      </w:r>
      <w:r w:rsidR="00E478AA" w:rsidRPr="00FF16BD">
        <w:rPr>
          <w:rFonts w:ascii="Arial" w:hAnsi="Arial" w:cs="Arial"/>
          <w:sz w:val="24"/>
          <w:szCs w:val="24"/>
          <w:lang w:val="fr-FR"/>
        </w:rPr>
        <w:t xml:space="preserve"> sa jurisprudence relative au délai raisonnable, la Cour a retenu une approche au cas par cas</w:t>
      </w:r>
      <w:r w:rsidR="00E478AA" w:rsidRPr="00FF16BD">
        <w:rPr>
          <w:rStyle w:val="FootnoteReference"/>
          <w:rFonts w:ascii="Arial" w:hAnsi="Arial" w:cs="Arial"/>
          <w:sz w:val="24"/>
          <w:szCs w:val="24"/>
          <w:lang w:val="fr-FR"/>
        </w:rPr>
        <w:footnoteReference w:id="3"/>
      </w:r>
      <w:r w:rsidR="00E478AA" w:rsidRPr="00FF16BD">
        <w:rPr>
          <w:rFonts w:ascii="Arial" w:hAnsi="Arial" w:cs="Arial"/>
          <w:sz w:val="24"/>
          <w:szCs w:val="24"/>
          <w:lang w:val="fr-FR"/>
        </w:rPr>
        <w:t xml:space="preserve">. </w:t>
      </w:r>
    </w:p>
    <w:p w14:paraId="181FFF7F" w14:textId="77777777" w:rsidR="006337E3" w:rsidRPr="00FF16BD" w:rsidRDefault="006337E3" w:rsidP="00F33A82">
      <w:pPr>
        <w:pStyle w:val="ListParagraph"/>
        <w:spacing w:line="360" w:lineRule="auto"/>
        <w:jc w:val="both"/>
        <w:rPr>
          <w:rFonts w:ascii="Arial" w:hAnsi="Arial" w:cs="Arial"/>
          <w:sz w:val="24"/>
          <w:szCs w:val="24"/>
          <w:lang w:val="fr-FR"/>
        </w:rPr>
      </w:pPr>
    </w:p>
    <w:p w14:paraId="272488B2" w14:textId="0D0AE941" w:rsidR="006337E3" w:rsidRPr="00FF16BD" w:rsidRDefault="00E478AA" w:rsidP="00F33A82">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observe que le recours exercé devant la Cour de justice de la CEDEAO n’est pas un recours à épuiser aux sens des articles 56(5) et 56(6) de la Charte. Toutefois, puisque l’article 56(7) lui en donne la faculté, le fait pour le </w:t>
      </w:r>
      <w:r w:rsidR="00FF34BB" w:rsidRPr="00FF16BD">
        <w:rPr>
          <w:rFonts w:ascii="Arial" w:hAnsi="Arial" w:cs="Arial"/>
          <w:sz w:val="24"/>
          <w:szCs w:val="24"/>
          <w:lang w:val="fr-FR"/>
        </w:rPr>
        <w:t xml:space="preserve">Requérant </w:t>
      </w:r>
      <w:r w:rsidRPr="00FF16BD">
        <w:rPr>
          <w:rFonts w:ascii="Arial" w:hAnsi="Arial" w:cs="Arial"/>
          <w:sz w:val="24"/>
          <w:szCs w:val="24"/>
          <w:lang w:val="fr-FR"/>
        </w:rPr>
        <w:t xml:space="preserve">de saisir la Cour de justice de la CEDEAO avant de saisir la Cour de céans </w:t>
      </w:r>
      <w:r w:rsidR="00FE0358" w:rsidRPr="00FF16BD">
        <w:rPr>
          <w:rFonts w:ascii="Arial" w:hAnsi="Arial" w:cs="Arial"/>
          <w:sz w:val="24"/>
          <w:szCs w:val="24"/>
          <w:lang w:val="fr-FR"/>
        </w:rPr>
        <w:t xml:space="preserve">est un facteur qui </w:t>
      </w:r>
      <w:r w:rsidRPr="00FF16BD">
        <w:rPr>
          <w:rFonts w:ascii="Arial" w:hAnsi="Arial" w:cs="Arial"/>
          <w:sz w:val="24"/>
          <w:szCs w:val="24"/>
          <w:lang w:val="fr-FR"/>
        </w:rPr>
        <w:t>peut</w:t>
      </w:r>
      <w:r w:rsidR="006337E3" w:rsidRPr="00FF16BD">
        <w:rPr>
          <w:rFonts w:ascii="Arial" w:hAnsi="Arial" w:cs="Arial"/>
          <w:sz w:val="24"/>
          <w:szCs w:val="24"/>
          <w:lang w:val="fr-FR"/>
        </w:rPr>
        <w:t xml:space="preserve"> être pris en compte dans l’évaluation du caractère raisonnable du délai évoqué à l’article 56(6)</w:t>
      </w:r>
      <w:r w:rsidR="006337E3" w:rsidRPr="00FF16BD">
        <w:rPr>
          <w:rStyle w:val="FootnoteReference"/>
          <w:rFonts w:ascii="Arial" w:hAnsi="Arial" w:cs="Arial"/>
          <w:sz w:val="24"/>
          <w:szCs w:val="24"/>
          <w:lang w:val="fr-FR"/>
        </w:rPr>
        <w:footnoteReference w:id="4"/>
      </w:r>
      <w:r w:rsidR="006337E3" w:rsidRPr="00FF16BD">
        <w:rPr>
          <w:rFonts w:ascii="Arial" w:hAnsi="Arial" w:cs="Arial"/>
          <w:sz w:val="24"/>
          <w:szCs w:val="24"/>
          <w:lang w:val="fr-FR"/>
        </w:rPr>
        <w:t>.</w:t>
      </w:r>
    </w:p>
    <w:p w14:paraId="1EDF5CDC" w14:textId="77777777" w:rsidR="00916462" w:rsidRPr="00FF16BD" w:rsidRDefault="00916462" w:rsidP="00917627">
      <w:pPr>
        <w:pStyle w:val="ListParagraph"/>
        <w:spacing w:line="360" w:lineRule="auto"/>
        <w:jc w:val="both"/>
        <w:rPr>
          <w:rFonts w:ascii="Arial" w:hAnsi="Arial" w:cs="Arial"/>
          <w:sz w:val="24"/>
          <w:szCs w:val="24"/>
          <w:lang w:val="fr-FR"/>
        </w:rPr>
      </w:pPr>
    </w:p>
    <w:p w14:paraId="111260B2" w14:textId="556C26B0" w:rsidR="001771A4" w:rsidRPr="00FF16BD" w:rsidRDefault="006337E3" w:rsidP="00F96EB9">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De ce qui précède, l</w:t>
      </w:r>
      <w:r w:rsidR="00F96EB9" w:rsidRPr="00FF16BD">
        <w:rPr>
          <w:rFonts w:ascii="Arial" w:hAnsi="Arial" w:cs="Arial"/>
          <w:sz w:val="24"/>
          <w:szCs w:val="24"/>
          <w:lang w:val="fr-FR"/>
        </w:rPr>
        <w:t xml:space="preserve">a Cour conclut </w:t>
      </w:r>
      <w:r w:rsidR="0074476E" w:rsidRPr="00FF16BD">
        <w:rPr>
          <w:rFonts w:ascii="Arial" w:hAnsi="Arial" w:cs="Arial"/>
          <w:sz w:val="24"/>
          <w:szCs w:val="24"/>
          <w:lang w:val="fr-FR"/>
        </w:rPr>
        <w:t xml:space="preserve">que le délai </w:t>
      </w:r>
      <w:r w:rsidR="00916462" w:rsidRPr="00FF16BD">
        <w:rPr>
          <w:rFonts w:ascii="Arial" w:hAnsi="Arial" w:cs="Arial"/>
          <w:sz w:val="24"/>
          <w:szCs w:val="24"/>
          <w:lang w:val="fr-FR"/>
        </w:rPr>
        <w:t xml:space="preserve">de deux ans et un mois </w:t>
      </w:r>
      <w:r w:rsidR="0074476E" w:rsidRPr="00FF16BD">
        <w:rPr>
          <w:rFonts w:ascii="Arial" w:hAnsi="Arial" w:cs="Arial"/>
          <w:sz w:val="24"/>
          <w:szCs w:val="24"/>
          <w:lang w:val="fr-FR"/>
        </w:rPr>
        <w:t xml:space="preserve">mis par le Requérant </w:t>
      </w:r>
      <w:r w:rsidRPr="00FF16BD">
        <w:rPr>
          <w:rFonts w:ascii="Arial" w:hAnsi="Arial" w:cs="Arial"/>
          <w:sz w:val="24"/>
          <w:szCs w:val="24"/>
          <w:lang w:val="fr-FR"/>
        </w:rPr>
        <w:t xml:space="preserve">pour la saisir </w:t>
      </w:r>
      <w:r w:rsidR="00F96EB9" w:rsidRPr="00FF16BD">
        <w:rPr>
          <w:rFonts w:ascii="Arial" w:hAnsi="Arial" w:cs="Arial"/>
          <w:sz w:val="24"/>
          <w:szCs w:val="24"/>
          <w:lang w:val="fr-FR"/>
        </w:rPr>
        <w:t>est</w:t>
      </w:r>
      <w:r w:rsidR="0074476E" w:rsidRPr="00FF16BD">
        <w:rPr>
          <w:rFonts w:ascii="Arial" w:hAnsi="Arial" w:cs="Arial"/>
          <w:sz w:val="24"/>
          <w:szCs w:val="24"/>
          <w:lang w:val="fr-FR"/>
        </w:rPr>
        <w:t xml:space="preserve"> raisonnable</w:t>
      </w:r>
      <w:r w:rsidR="005E1236" w:rsidRPr="00FF16BD">
        <w:rPr>
          <w:rFonts w:ascii="Arial" w:hAnsi="Arial" w:cs="Arial"/>
          <w:sz w:val="24"/>
          <w:szCs w:val="24"/>
          <w:lang w:val="fr-FR"/>
        </w:rPr>
        <w:t xml:space="preserve"> au sens de l’article 56(6)</w:t>
      </w:r>
      <w:r w:rsidR="0074476E" w:rsidRPr="00FF16BD">
        <w:rPr>
          <w:rFonts w:ascii="Arial" w:hAnsi="Arial" w:cs="Arial"/>
          <w:sz w:val="24"/>
          <w:szCs w:val="24"/>
          <w:lang w:val="fr-FR"/>
        </w:rPr>
        <w:t>.</w:t>
      </w:r>
      <w:r w:rsidR="00916462" w:rsidRPr="00FF16BD">
        <w:rPr>
          <w:rFonts w:ascii="Arial" w:hAnsi="Arial" w:cs="Arial"/>
          <w:sz w:val="24"/>
          <w:szCs w:val="24"/>
          <w:lang w:val="fr-FR"/>
        </w:rPr>
        <w:t xml:space="preserve"> </w:t>
      </w:r>
      <w:r w:rsidR="00F96EB9" w:rsidRPr="00FF16BD">
        <w:rPr>
          <w:rFonts w:ascii="Arial" w:hAnsi="Arial" w:cs="Arial"/>
          <w:sz w:val="24"/>
          <w:szCs w:val="24"/>
          <w:lang w:val="fr-FR"/>
        </w:rPr>
        <w:t>Elle rejette e</w:t>
      </w:r>
      <w:r w:rsidR="001771A4" w:rsidRPr="00FF16BD">
        <w:rPr>
          <w:rFonts w:ascii="Arial" w:hAnsi="Arial" w:cs="Arial"/>
          <w:sz w:val="24"/>
          <w:szCs w:val="24"/>
          <w:lang w:val="fr-FR"/>
        </w:rPr>
        <w:t>n conséquence l’exception d</w:t>
      </w:r>
      <w:r w:rsidR="0004349E" w:rsidRPr="00FF16BD">
        <w:rPr>
          <w:rFonts w:ascii="Arial" w:hAnsi="Arial" w:cs="Arial"/>
          <w:sz w:val="24"/>
          <w:szCs w:val="24"/>
          <w:lang w:val="fr-FR"/>
        </w:rPr>
        <w:t>e l’Etat</w:t>
      </w:r>
      <w:r w:rsidR="001771A4" w:rsidRPr="00FF16BD">
        <w:rPr>
          <w:rFonts w:ascii="Arial" w:hAnsi="Arial" w:cs="Arial"/>
          <w:sz w:val="24"/>
          <w:szCs w:val="24"/>
          <w:lang w:val="fr-FR"/>
        </w:rPr>
        <w:t xml:space="preserve"> </w:t>
      </w:r>
      <w:r w:rsidR="0004349E" w:rsidRPr="00FF16BD">
        <w:rPr>
          <w:rFonts w:ascii="Arial" w:hAnsi="Arial" w:cs="Arial"/>
          <w:sz w:val="24"/>
          <w:szCs w:val="24"/>
          <w:lang w:val="fr-FR"/>
        </w:rPr>
        <w:t>d</w:t>
      </w:r>
      <w:r w:rsidR="001771A4" w:rsidRPr="00FF16BD">
        <w:rPr>
          <w:rFonts w:ascii="Arial" w:hAnsi="Arial" w:cs="Arial"/>
          <w:sz w:val="24"/>
          <w:szCs w:val="24"/>
          <w:lang w:val="fr-FR"/>
        </w:rPr>
        <w:t xml:space="preserve">éfendeur tirée de </w:t>
      </w:r>
      <w:r w:rsidR="00F1641B" w:rsidRPr="00FF16BD">
        <w:rPr>
          <w:rFonts w:ascii="Arial" w:hAnsi="Arial" w:cs="Arial"/>
          <w:sz w:val="24"/>
          <w:szCs w:val="24"/>
          <w:lang w:val="fr-FR"/>
        </w:rPr>
        <w:t>s</w:t>
      </w:r>
      <w:r w:rsidR="001771A4" w:rsidRPr="00FF16BD">
        <w:rPr>
          <w:rFonts w:ascii="Arial" w:hAnsi="Arial" w:cs="Arial"/>
          <w:sz w:val="24"/>
          <w:szCs w:val="24"/>
          <w:lang w:val="fr-FR"/>
        </w:rPr>
        <w:t xml:space="preserve">a saisine tardive. </w:t>
      </w:r>
    </w:p>
    <w:p w14:paraId="273B8182" w14:textId="77777777" w:rsidR="006337E3" w:rsidRPr="00FF16BD" w:rsidRDefault="006337E3" w:rsidP="00917627">
      <w:pPr>
        <w:pStyle w:val="ListParagraph"/>
        <w:spacing w:line="360" w:lineRule="auto"/>
        <w:ind w:left="1080"/>
        <w:jc w:val="both"/>
        <w:rPr>
          <w:rFonts w:ascii="Arial" w:hAnsi="Arial" w:cs="Arial"/>
          <w:b/>
          <w:sz w:val="24"/>
          <w:szCs w:val="24"/>
          <w:lang w:val="fr-FR"/>
        </w:rPr>
      </w:pPr>
    </w:p>
    <w:p w14:paraId="6C740E24" w14:textId="09D9F2D1" w:rsidR="002736E9" w:rsidRPr="00FF16BD" w:rsidRDefault="002736E9" w:rsidP="000439F1">
      <w:pPr>
        <w:pStyle w:val="Heading2"/>
        <w:numPr>
          <w:ilvl w:val="0"/>
          <w:numId w:val="37"/>
        </w:numPr>
        <w:ind w:left="567" w:hanging="567"/>
        <w:rPr>
          <w:rFonts w:ascii="Arial" w:hAnsi="Arial" w:cs="Arial"/>
          <w:color w:val="auto"/>
          <w:sz w:val="24"/>
          <w:lang w:val="fr-FR"/>
        </w:rPr>
      </w:pPr>
      <w:bookmarkStart w:id="11" w:name="_Toc509567811"/>
      <w:r w:rsidRPr="00FF16BD">
        <w:rPr>
          <w:rFonts w:ascii="Arial" w:hAnsi="Arial" w:cs="Arial"/>
          <w:color w:val="auto"/>
          <w:sz w:val="24"/>
          <w:lang w:val="fr-FR"/>
        </w:rPr>
        <w:lastRenderedPageBreak/>
        <w:t xml:space="preserve">Exception tirée du règlement antérieur du différend </w:t>
      </w:r>
      <w:r w:rsidR="00F1641B" w:rsidRPr="00FF16BD">
        <w:rPr>
          <w:rFonts w:ascii="Arial" w:hAnsi="Arial" w:cs="Arial"/>
          <w:color w:val="auto"/>
          <w:sz w:val="24"/>
          <w:lang w:val="fr-FR"/>
        </w:rPr>
        <w:t>par la Cour de justice de la CEDEAO</w:t>
      </w:r>
      <w:bookmarkEnd w:id="11"/>
      <w:r w:rsidR="00F1641B" w:rsidRPr="00FF16BD">
        <w:rPr>
          <w:rFonts w:ascii="Arial" w:hAnsi="Arial" w:cs="Arial"/>
          <w:color w:val="auto"/>
          <w:sz w:val="24"/>
          <w:lang w:val="fr-FR"/>
        </w:rPr>
        <w:t xml:space="preserve"> </w:t>
      </w:r>
    </w:p>
    <w:p w14:paraId="3B4F5ECF" w14:textId="77777777" w:rsidR="00A57DEB" w:rsidRPr="00FF16BD" w:rsidRDefault="00A57DEB" w:rsidP="00917627">
      <w:pPr>
        <w:pStyle w:val="ListParagraph"/>
        <w:spacing w:line="360" w:lineRule="auto"/>
        <w:jc w:val="both"/>
        <w:rPr>
          <w:rFonts w:ascii="Arial" w:hAnsi="Arial" w:cs="Arial"/>
          <w:sz w:val="24"/>
          <w:szCs w:val="24"/>
          <w:lang w:val="fr-FR"/>
        </w:rPr>
      </w:pPr>
    </w:p>
    <w:p w14:paraId="6EF4FC0B" w14:textId="2BF78B92" w:rsidR="001B7375" w:rsidRPr="00FF16BD" w:rsidRDefault="005E1236"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w:t>
      </w:r>
      <w:r w:rsidR="00133811" w:rsidRPr="00FF16BD">
        <w:rPr>
          <w:rFonts w:ascii="Arial" w:hAnsi="Arial" w:cs="Arial"/>
          <w:sz w:val="24"/>
          <w:szCs w:val="24"/>
          <w:lang w:val="fr-FR"/>
        </w:rPr>
        <w:t xml:space="preserve">’Etat </w:t>
      </w:r>
      <w:r w:rsidR="0004349E" w:rsidRPr="00FF16BD">
        <w:rPr>
          <w:rFonts w:ascii="Arial" w:hAnsi="Arial" w:cs="Arial"/>
          <w:sz w:val="24"/>
          <w:szCs w:val="24"/>
          <w:lang w:val="fr-FR"/>
        </w:rPr>
        <w:t xml:space="preserve">défendeur </w:t>
      </w:r>
      <w:r w:rsidR="0001354A" w:rsidRPr="00FF16BD">
        <w:rPr>
          <w:rFonts w:ascii="Arial" w:hAnsi="Arial" w:cs="Arial"/>
          <w:sz w:val="24"/>
          <w:szCs w:val="24"/>
          <w:lang w:val="fr-FR"/>
        </w:rPr>
        <w:t xml:space="preserve">soutient </w:t>
      </w:r>
      <w:r w:rsidR="00133811" w:rsidRPr="00FF16BD">
        <w:rPr>
          <w:rFonts w:ascii="Arial" w:hAnsi="Arial" w:cs="Arial"/>
          <w:sz w:val="24"/>
          <w:szCs w:val="24"/>
          <w:lang w:val="fr-FR"/>
        </w:rPr>
        <w:t xml:space="preserve">que la présente Requête </w:t>
      </w:r>
      <w:r w:rsidR="0001354A" w:rsidRPr="00FF16BD">
        <w:rPr>
          <w:rFonts w:ascii="Arial" w:hAnsi="Arial" w:cs="Arial"/>
          <w:sz w:val="24"/>
          <w:szCs w:val="24"/>
          <w:lang w:val="fr-FR"/>
        </w:rPr>
        <w:t>est</w:t>
      </w:r>
      <w:r w:rsidRPr="00FF16BD">
        <w:rPr>
          <w:rFonts w:ascii="Arial" w:hAnsi="Arial" w:cs="Arial"/>
          <w:sz w:val="24"/>
          <w:szCs w:val="24"/>
          <w:lang w:val="fr-FR"/>
        </w:rPr>
        <w:t xml:space="preserve"> irrecevable étant donné </w:t>
      </w:r>
      <w:r w:rsidR="00133811" w:rsidRPr="00FF16BD">
        <w:rPr>
          <w:rFonts w:ascii="Arial" w:hAnsi="Arial" w:cs="Arial"/>
          <w:sz w:val="24"/>
          <w:szCs w:val="24"/>
          <w:lang w:val="fr-FR"/>
        </w:rPr>
        <w:t>que le Requérant a préalablement saisi dans les mêmes termes la Cour de justice de la CEDEAO qui</w:t>
      </w:r>
      <w:r w:rsidR="009226F0" w:rsidRPr="00FF16BD">
        <w:rPr>
          <w:rFonts w:ascii="Arial" w:hAnsi="Arial" w:cs="Arial"/>
          <w:sz w:val="24"/>
          <w:szCs w:val="24"/>
          <w:lang w:val="fr-FR"/>
        </w:rPr>
        <w:t xml:space="preserve">, à deux reprises, </w:t>
      </w:r>
      <w:r w:rsidR="00133811" w:rsidRPr="00FF16BD">
        <w:rPr>
          <w:rFonts w:ascii="Arial" w:hAnsi="Arial" w:cs="Arial"/>
          <w:sz w:val="24"/>
          <w:szCs w:val="24"/>
          <w:lang w:val="fr-FR"/>
        </w:rPr>
        <w:t>l’a débouté</w:t>
      </w:r>
      <w:r w:rsidR="009226F0" w:rsidRPr="00FF16BD">
        <w:rPr>
          <w:rFonts w:ascii="Arial" w:hAnsi="Arial" w:cs="Arial"/>
          <w:sz w:val="24"/>
          <w:szCs w:val="24"/>
          <w:lang w:val="fr-FR"/>
        </w:rPr>
        <w:t xml:space="preserve"> </w:t>
      </w:r>
      <w:r w:rsidR="00133811" w:rsidRPr="00FF16BD">
        <w:rPr>
          <w:rFonts w:ascii="Arial" w:hAnsi="Arial" w:cs="Arial"/>
          <w:sz w:val="24"/>
          <w:szCs w:val="24"/>
          <w:lang w:val="fr-FR"/>
        </w:rPr>
        <w:t xml:space="preserve">de sa demande en se fondant sur les instruments juridiques cités à l’article 56(7). </w:t>
      </w:r>
    </w:p>
    <w:p w14:paraId="477631D3" w14:textId="77777777" w:rsidR="001B7375" w:rsidRPr="00FF16BD" w:rsidRDefault="001B7375" w:rsidP="00917627">
      <w:pPr>
        <w:pStyle w:val="ListParagraph"/>
        <w:spacing w:line="360" w:lineRule="auto"/>
        <w:jc w:val="both"/>
        <w:rPr>
          <w:rFonts w:ascii="Arial" w:hAnsi="Arial" w:cs="Arial"/>
          <w:sz w:val="24"/>
          <w:szCs w:val="24"/>
          <w:lang w:val="fr-FR"/>
        </w:rPr>
      </w:pPr>
    </w:p>
    <w:p w14:paraId="1C624100" w14:textId="52B2341C" w:rsidR="00A43EB6" w:rsidRPr="00FF16BD" w:rsidRDefault="00F75472"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Le Défendeur </w:t>
      </w:r>
      <w:r w:rsidR="000F4005" w:rsidRPr="00FF16BD">
        <w:rPr>
          <w:rFonts w:ascii="Arial" w:hAnsi="Arial" w:cs="Arial"/>
          <w:sz w:val="24"/>
          <w:szCs w:val="24"/>
          <w:lang w:val="fr-FR"/>
        </w:rPr>
        <w:t xml:space="preserve">allègue </w:t>
      </w:r>
      <w:r w:rsidRPr="00FF16BD">
        <w:rPr>
          <w:rFonts w:ascii="Arial" w:hAnsi="Arial" w:cs="Arial"/>
          <w:sz w:val="24"/>
          <w:szCs w:val="24"/>
          <w:lang w:val="fr-FR"/>
        </w:rPr>
        <w:t xml:space="preserve">en outre </w:t>
      </w:r>
      <w:r w:rsidR="000F4005" w:rsidRPr="00FF16BD">
        <w:rPr>
          <w:rFonts w:ascii="Arial" w:hAnsi="Arial" w:cs="Arial"/>
          <w:sz w:val="24"/>
          <w:szCs w:val="24"/>
          <w:lang w:val="fr-FR"/>
        </w:rPr>
        <w:t xml:space="preserve">que la même exception s’applique à </w:t>
      </w:r>
      <w:r w:rsidRPr="00FF16BD">
        <w:rPr>
          <w:rFonts w:ascii="Arial" w:hAnsi="Arial" w:cs="Arial"/>
          <w:sz w:val="24"/>
          <w:szCs w:val="24"/>
          <w:lang w:val="fr-FR"/>
        </w:rPr>
        <w:t xml:space="preserve">la saisine par le Requérant du Centre international pour le règlement des différends relatifs aux investissements (CIRDI) qui a refusé d’enregistrer la requête au motif que le différend excédait manifestement sa compétence. </w:t>
      </w:r>
    </w:p>
    <w:p w14:paraId="00644C36" w14:textId="77777777" w:rsidR="00A43EB6" w:rsidRPr="00FF16BD" w:rsidRDefault="00A43EB6" w:rsidP="00917627">
      <w:pPr>
        <w:pStyle w:val="ListParagraph"/>
        <w:spacing w:line="360" w:lineRule="auto"/>
        <w:jc w:val="both"/>
        <w:rPr>
          <w:rFonts w:ascii="Arial" w:hAnsi="Arial" w:cs="Arial"/>
          <w:sz w:val="24"/>
          <w:szCs w:val="24"/>
          <w:lang w:val="fr-FR"/>
        </w:rPr>
      </w:pPr>
    </w:p>
    <w:p w14:paraId="284A934B" w14:textId="74F567A6" w:rsidR="00461B18" w:rsidRPr="00FF16BD" w:rsidRDefault="00C45C56" w:rsidP="0001354A">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En réponse,</w:t>
      </w:r>
      <w:r w:rsidR="00DD3EF0" w:rsidRPr="00FF16BD">
        <w:rPr>
          <w:rFonts w:ascii="Arial" w:hAnsi="Arial" w:cs="Arial"/>
          <w:sz w:val="24"/>
          <w:szCs w:val="24"/>
          <w:lang w:val="fr-FR"/>
        </w:rPr>
        <w:t xml:space="preserve"> le Requérant</w:t>
      </w:r>
      <w:r w:rsidRPr="00FF16BD">
        <w:rPr>
          <w:rFonts w:ascii="Arial" w:hAnsi="Arial" w:cs="Arial"/>
          <w:sz w:val="24"/>
          <w:szCs w:val="24"/>
          <w:lang w:val="fr-FR"/>
        </w:rPr>
        <w:t xml:space="preserve"> avance que</w:t>
      </w:r>
      <w:r w:rsidR="00DD3EF0" w:rsidRPr="00FF16BD">
        <w:rPr>
          <w:rFonts w:ascii="Arial" w:hAnsi="Arial" w:cs="Arial"/>
          <w:sz w:val="24"/>
          <w:szCs w:val="24"/>
          <w:lang w:val="fr-FR"/>
        </w:rPr>
        <w:t xml:space="preserve"> </w:t>
      </w:r>
      <w:r w:rsidR="009E69D6" w:rsidRPr="00FF16BD">
        <w:rPr>
          <w:rFonts w:ascii="Arial" w:hAnsi="Arial" w:cs="Arial"/>
          <w:sz w:val="24"/>
          <w:szCs w:val="24"/>
          <w:lang w:val="fr-FR"/>
        </w:rPr>
        <w:t>la Cour de justic</w:t>
      </w:r>
      <w:r w:rsidR="00E64A90" w:rsidRPr="00FF16BD">
        <w:rPr>
          <w:rFonts w:ascii="Arial" w:hAnsi="Arial" w:cs="Arial"/>
          <w:sz w:val="24"/>
          <w:szCs w:val="24"/>
          <w:lang w:val="fr-FR"/>
        </w:rPr>
        <w:t xml:space="preserve">e de la CEDEAO </w:t>
      </w:r>
      <w:r w:rsidR="0001354A" w:rsidRPr="00FF16BD">
        <w:rPr>
          <w:rFonts w:ascii="Arial" w:hAnsi="Arial" w:cs="Arial"/>
          <w:sz w:val="24"/>
          <w:szCs w:val="24"/>
          <w:lang w:val="fr-FR"/>
        </w:rPr>
        <w:t>n’a fait application des textes visés par l’article 56(7) de la Charte</w:t>
      </w:r>
      <w:r w:rsidR="0001354A" w:rsidRPr="00FF16BD" w:rsidDel="0001354A">
        <w:rPr>
          <w:rFonts w:ascii="Arial" w:hAnsi="Arial" w:cs="Arial"/>
          <w:sz w:val="24"/>
          <w:szCs w:val="24"/>
          <w:lang w:val="fr-FR"/>
        </w:rPr>
        <w:t xml:space="preserve"> </w:t>
      </w:r>
      <w:r w:rsidR="003C3EBD" w:rsidRPr="00FF16BD">
        <w:rPr>
          <w:rFonts w:ascii="Arial" w:hAnsi="Arial" w:cs="Arial"/>
          <w:sz w:val="24"/>
          <w:szCs w:val="24"/>
          <w:lang w:val="fr-FR"/>
        </w:rPr>
        <w:t xml:space="preserve">dans aucun des deux arrêts qu’elle a rendus. </w:t>
      </w:r>
      <w:r w:rsidR="00BC6601" w:rsidRPr="00FF16BD">
        <w:rPr>
          <w:rFonts w:ascii="Arial" w:hAnsi="Arial" w:cs="Arial"/>
          <w:sz w:val="24"/>
          <w:szCs w:val="24"/>
          <w:lang w:val="fr-FR"/>
        </w:rPr>
        <w:t>Le Requérant fait observer à cet égard que dans sa première décision, la</w:t>
      </w:r>
      <w:r w:rsidR="0001354A" w:rsidRPr="00FF16BD">
        <w:rPr>
          <w:rFonts w:ascii="Arial" w:hAnsi="Arial" w:cs="Arial"/>
          <w:sz w:val="24"/>
          <w:szCs w:val="24"/>
          <w:lang w:val="fr-FR"/>
        </w:rPr>
        <w:t>dite</w:t>
      </w:r>
      <w:r w:rsidR="00BC6601" w:rsidRPr="00FF16BD">
        <w:rPr>
          <w:rFonts w:ascii="Arial" w:hAnsi="Arial" w:cs="Arial"/>
          <w:sz w:val="24"/>
          <w:szCs w:val="24"/>
          <w:lang w:val="fr-FR"/>
        </w:rPr>
        <w:t xml:space="preserve"> Cour </w:t>
      </w:r>
      <w:r w:rsidR="0001354A" w:rsidRPr="00FF16BD">
        <w:rPr>
          <w:rFonts w:ascii="Arial" w:hAnsi="Arial" w:cs="Arial"/>
          <w:sz w:val="24"/>
          <w:szCs w:val="24"/>
          <w:lang w:val="fr-FR"/>
        </w:rPr>
        <w:t>a conclu à l’absence de</w:t>
      </w:r>
      <w:r w:rsidR="00BC6601" w:rsidRPr="00FF16BD">
        <w:rPr>
          <w:rFonts w:ascii="Arial" w:hAnsi="Arial" w:cs="Arial"/>
          <w:sz w:val="24"/>
          <w:szCs w:val="24"/>
          <w:lang w:val="fr-FR"/>
        </w:rPr>
        <w:t xml:space="preserve"> preuve des violations alléguées </w:t>
      </w:r>
      <w:r w:rsidR="0001354A" w:rsidRPr="00FF16BD">
        <w:rPr>
          <w:rFonts w:ascii="Arial" w:hAnsi="Arial" w:cs="Arial"/>
          <w:sz w:val="24"/>
          <w:szCs w:val="24"/>
          <w:lang w:val="fr-FR"/>
        </w:rPr>
        <w:t>alors que dans la seconde</w:t>
      </w:r>
      <w:r w:rsidR="00D931A7" w:rsidRPr="00FF16BD">
        <w:rPr>
          <w:rFonts w:ascii="Arial" w:hAnsi="Arial" w:cs="Arial"/>
          <w:sz w:val="24"/>
          <w:szCs w:val="24"/>
          <w:lang w:val="fr-FR"/>
        </w:rPr>
        <w:t xml:space="preserve"> décision</w:t>
      </w:r>
      <w:r w:rsidR="0001354A" w:rsidRPr="00FF16BD">
        <w:rPr>
          <w:rFonts w:ascii="Arial" w:hAnsi="Arial" w:cs="Arial"/>
          <w:sz w:val="24"/>
          <w:szCs w:val="24"/>
          <w:lang w:val="fr-FR"/>
        </w:rPr>
        <w:t xml:space="preserve">, elle a n’a fait que réitérer </w:t>
      </w:r>
      <w:r w:rsidR="00461B18" w:rsidRPr="00FF16BD">
        <w:rPr>
          <w:rFonts w:ascii="Arial" w:hAnsi="Arial" w:cs="Arial"/>
          <w:sz w:val="24"/>
          <w:szCs w:val="24"/>
          <w:lang w:val="fr-FR"/>
        </w:rPr>
        <w:t xml:space="preserve">les conclusions de la première. </w:t>
      </w:r>
    </w:p>
    <w:p w14:paraId="50016249" w14:textId="77777777" w:rsidR="00461B18" w:rsidRPr="00FF16BD" w:rsidRDefault="00461B18" w:rsidP="00917627">
      <w:pPr>
        <w:pStyle w:val="ListParagraph"/>
        <w:spacing w:line="360" w:lineRule="auto"/>
        <w:jc w:val="both"/>
        <w:rPr>
          <w:rFonts w:ascii="Arial" w:hAnsi="Arial" w:cs="Arial"/>
          <w:sz w:val="24"/>
          <w:szCs w:val="24"/>
          <w:lang w:val="fr-FR"/>
        </w:rPr>
      </w:pPr>
    </w:p>
    <w:p w14:paraId="3D3FA6CE" w14:textId="6AB00B2E" w:rsidR="00606A53" w:rsidRPr="00FF16BD" w:rsidRDefault="00D931A7" w:rsidP="00A41723">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w:t>
      </w:r>
      <w:r w:rsidR="00461B18" w:rsidRPr="00FF16BD">
        <w:rPr>
          <w:rFonts w:ascii="Arial" w:hAnsi="Arial" w:cs="Arial"/>
          <w:sz w:val="24"/>
          <w:szCs w:val="24"/>
          <w:lang w:val="fr-FR"/>
        </w:rPr>
        <w:t xml:space="preserve">e Requérant </w:t>
      </w:r>
      <w:r w:rsidRPr="00FF16BD">
        <w:rPr>
          <w:rFonts w:ascii="Arial" w:hAnsi="Arial" w:cs="Arial"/>
          <w:sz w:val="24"/>
          <w:szCs w:val="24"/>
          <w:lang w:val="fr-FR"/>
        </w:rPr>
        <w:t xml:space="preserve">soutient par ailleurs </w:t>
      </w:r>
      <w:r w:rsidR="00606A53" w:rsidRPr="00FF16BD">
        <w:rPr>
          <w:rFonts w:ascii="Arial" w:hAnsi="Arial" w:cs="Arial"/>
          <w:sz w:val="24"/>
          <w:szCs w:val="24"/>
          <w:lang w:val="fr-FR"/>
        </w:rPr>
        <w:t xml:space="preserve">que la présente Requête « n’est pas totalement identique à celle soumise à la Cour de justice de la CEDEAO » ; que dans cette dernière, il « n’a pas évoqué la situation du dessaisissement de la Cour d’appel de Daloa comme un cas de violation des droits de l’homme ». </w:t>
      </w:r>
      <w:r w:rsidRPr="00FF16BD">
        <w:rPr>
          <w:rFonts w:ascii="Arial" w:hAnsi="Arial" w:cs="Arial"/>
          <w:sz w:val="24"/>
          <w:szCs w:val="24"/>
          <w:lang w:val="fr-FR"/>
        </w:rPr>
        <w:t>Il en conclut</w:t>
      </w:r>
      <w:r w:rsidR="00606A53" w:rsidRPr="00FF16BD">
        <w:rPr>
          <w:rFonts w:ascii="Arial" w:hAnsi="Arial" w:cs="Arial"/>
          <w:sz w:val="24"/>
          <w:szCs w:val="24"/>
          <w:lang w:val="fr-FR"/>
        </w:rPr>
        <w:t xml:space="preserve"> que « cette demande présentée pour la première fois n’entre pas dans les prévisions de l’article 40(7) </w:t>
      </w:r>
      <w:r w:rsidR="00494A89" w:rsidRPr="00FF16BD">
        <w:rPr>
          <w:rFonts w:ascii="Arial" w:hAnsi="Arial" w:cs="Arial"/>
          <w:sz w:val="24"/>
          <w:szCs w:val="24"/>
          <w:lang w:val="fr-FR"/>
        </w:rPr>
        <w:t xml:space="preserve">du Règlement </w:t>
      </w:r>
      <w:r w:rsidR="00606A53" w:rsidRPr="00FF16BD">
        <w:rPr>
          <w:rFonts w:ascii="Arial" w:hAnsi="Arial" w:cs="Arial"/>
          <w:sz w:val="24"/>
          <w:szCs w:val="24"/>
          <w:lang w:val="fr-FR"/>
        </w:rPr>
        <w:t xml:space="preserve">». </w:t>
      </w:r>
    </w:p>
    <w:p w14:paraId="6419C0F3" w14:textId="77777777" w:rsidR="0001354A" w:rsidRPr="00FF16BD" w:rsidRDefault="0001354A" w:rsidP="0001354A">
      <w:pPr>
        <w:spacing w:line="360" w:lineRule="auto"/>
        <w:jc w:val="center"/>
        <w:rPr>
          <w:rFonts w:ascii="Arial" w:hAnsi="Arial" w:cs="Arial"/>
          <w:sz w:val="24"/>
          <w:szCs w:val="24"/>
          <w:lang w:val="fr-FR"/>
        </w:rPr>
      </w:pPr>
      <w:r w:rsidRPr="00FF16BD">
        <w:rPr>
          <w:rFonts w:ascii="Arial" w:hAnsi="Arial" w:cs="Arial"/>
          <w:sz w:val="24"/>
          <w:szCs w:val="24"/>
          <w:lang w:val="fr-FR"/>
        </w:rPr>
        <w:t>***</w:t>
      </w:r>
    </w:p>
    <w:p w14:paraId="390370A3" w14:textId="04F41A1F" w:rsidR="00741FE3" w:rsidRPr="00FF16BD" w:rsidRDefault="00623063"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En vertu des dispositions</w:t>
      </w:r>
      <w:r w:rsidR="00C57FFB" w:rsidRPr="00FF16BD">
        <w:rPr>
          <w:rFonts w:ascii="Arial" w:hAnsi="Arial" w:cs="Arial"/>
          <w:sz w:val="24"/>
          <w:szCs w:val="24"/>
          <w:lang w:val="fr-FR"/>
        </w:rPr>
        <w:t xml:space="preserve"> de l’article 56(7) de la Charte</w:t>
      </w:r>
      <w:r w:rsidRPr="00FF16BD">
        <w:rPr>
          <w:rFonts w:ascii="Arial" w:hAnsi="Arial" w:cs="Arial"/>
          <w:sz w:val="24"/>
          <w:szCs w:val="24"/>
          <w:lang w:val="fr-FR"/>
        </w:rPr>
        <w:t>,</w:t>
      </w:r>
      <w:r w:rsidR="00C57FFB" w:rsidRPr="00FF16BD">
        <w:rPr>
          <w:rFonts w:ascii="Arial" w:hAnsi="Arial" w:cs="Arial"/>
          <w:sz w:val="24"/>
          <w:szCs w:val="24"/>
          <w:lang w:val="fr-FR"/>
        </w:rPr>
        <w:t xml:space="preserve"> reprises par l’article 40(7) du Règlement, les requêtes doivent</w:t>
      </w:r>
      <w:r w:rsidRPr="00FF16BD">
        <w:rPr>
          <w:rFonts w:ascii="Arial" w:hAnsi="Arial" w:cs="Arial"/>
          <w:sz w:val="24"/>
          <w:szCs w:val="24"/>
          <w:lang w:val="fr-FR"/>
        </w:rPr>
        <w:t>,</w:t>
      </w:r>
      <w:r w:rsidR="00C57FFB" w:rsidRPr="00FF16BD">
        <w:rPr>
          <w:rFonts w:ascii="Arial" w:hAnsi="Arial" w:cs="Arial"/>
          <w:sz w:val="24"/>
          <w:szCs w:val="24"/>
          <w:lang w:val="fr-FR"/>
        </w:rPr>
        <w:t xml:space="preserve"> </w:t>
      </w:r>
      <w:r w:rsidRPr="00FF16BD">
        <w:rPr>
          <w:rFonts w:ascii="Arial" w:hAnsi="Arial" w:cs="Arial"/>
          <w:sz w:val="24"/>
          <w:szCs w:val="24"/>
          <w:lang w:val="fr-FR"/>
        </w:rPr>
        <w:t xml:space="preserve">pour être examinées, </w:t>
      </w:r>
      <w:r w:rsidR="00C57FFB" w:rsidRPr="00FF16BD">
        <w:rPr>
          <w:rFonts w:ascii="Arial" w:hAnsi="Arial" w:cs="Arial"/>
          <w:lang w:val="fr-FR"/>
        </w:rPr>
        <w:t xml:space="preserve">« ne pas concerner des cas </w:t>
      </w:r>
      <w:r w:rsidR="00741FE3" w:rsidRPr="00FF16BD">
        <w:rPr>
          <w:rFonts w:ascii="Arial" w:hAnsi="Arial" w:cs="Arial"/>
          <w:lang w:val="fr-FR"/>
        </w:rPr>
        <w:t>qui ont été réglés conformément soit aux principes de la Charte des Nations Unies, soit de la Charte de l’Organisation de l’Unité Africaine, soit des dispositions de la présente Charte »</w:t>
      </w:r>
      <w:r w:rsidR="00741FE3" w:rsidRPr="00FF16BD">
        <w:rPr>
          <w:rFonts w:ascii="Arial" w:hAnsi="Arial" w:cs="Arial"/>
          <w:sz w:val="24"/>
          <w:szCs w:val="24"/>
          <w:lang w:val="fr-FR"/>
        </w:rPr>
        <w:t>.</w:t>
      </w:r>
    </w:p>
    <w:p w14:paraId="5404E3F2" w14:textId="77777777" w:rsidR="009C61C4" w:rsidRPr="00FF16BD" w:rsidRDefault="009C61C4" w:rsidP="00917627">
      <w:pPr>
        <w:pStyle w:val="ListParagraph"/>
        <w:spacing w:line="360" w:lineRule="auto"/>
        <w:jc w:val="both"/>
        <w:rPr>
          <w:rFonts w:ascii="Arial" w:hAnsi="Arial" w:cs="Arial"/>
          <w:sz w:val="24"/>
          <w:szCs w:val="24"/>
          <w:lang w:val="fr-FR"/>
        </w:rPr>
      </w:pPr>
    </w:p>
    <w:p w14:paraId="5AA9A6BC" w14:textId="5A23CBC0" w:rsidR="00B82862" w:rsidRPr="00FF16BD" w:rsidRDefault="001F1033"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lastRenderedPageBreak/>
        <w:t>A</w:t>
      </w:r>
      <w:r w:rsidR="000F4EE7" w:rsidRPr="00FF16BD">
        <w:rPr>
          <w:rFonts w:ascii="Arial" w:hAnsi="Arial" w:cs="Arial"/>
          <w:sz w:val="24"/>
          <w:szCs w:val="24"/>
          <w:lang w:val="fr-FR"/>
        </w:rPr>
        <w:t xml:space="preserve"> la lumière </w:t>
      </w:r>
      <w:r w:rsidR="00E51E2E" w:rsidRPr="00FF16BD">
        <w:rPr>
          <w:rFonts w:ascii="Arial" w:hAnsi="Arial" w:cs="Arial"/>
          <w:sz w:val="24"/>
          <w:szCs w:val="24"/>
          <w:lang w:val="fr-FR"/>
        </w:rPr>
        <w:t>des</w:t>
      </w:r>
      <w:r w:rsidR="0020471F" w:rsidRPr="00FF16BD">
        <w:rPr>
          <w:rFonts w:ascii="Arial" w:hAnsi="Arial" w:cs="Arial"/>
          <w:sz w:val="24"/>
          <w:szCs w:val="24"/>
          <w:lang w:val="fr-FR"/>
        </w:rPr>
        <w:t xml:space="preserve"> dispositions ainsi rappelées, </w:t>
      </w:r>
      <w:r w:rsidR="000F4EE7" w:rsidRPr="00FF16BD">
        <w:rPr>
          <w:rFonts w:ascii="Arial" w:hAnsi="Arial" w:cs="Arial"/>
          <w:sz w:val="24"/>
          <w:szCs w:val="24"/>
          <w:lang w:val="fr-FR"/>
        </w:rPr>
        <w:t>e</w:t>
      </w:r>
      <w:r w:rsidR="00F75B8B" w:rsidRPr="00FF16BD">
        <w:rPr>
          <w:rFonts w:ascii="Arial" w:hAnsi="Arial" w:cs="Arial"/>
          <w:sz w:val="24"/>
          <w:szCs w:val="24"/>
          <w:lang w:val="fr-FR"/>
        </w:rPr>
        <w:t xml:space="preserve">xaminer </w:t>
      </w:r>
      <w:r w:rsidR="00EE2E18" w:rsidRPr="00FF16BD">
        <w:rPr>
          <w:rFonts w:ascii="Arial" w:hAnsi="Arial" w:cs="Arial"/>
          <w:sz w:val="24"/>
          <w:szCs w:val="24"/>
          <w:lang w:val="fr-FR"/>
        </w:rPr>
        <w:t>le</w:t>
      </w:r>
      <w:r w:rsidR="000F4EE7" w:rsidRPr="00FF16BD">
        <w:rPr>
          <w:rFonts w:ascii="Arial" w:hAnsi="Arial" w:cs="Arial"/>
          <w:sz w:val="24"/>
          <w:szCs w:val="24"/>
          <w:lang w:val="fr-FR"/>
        </w:rPr>
        <w:t xml:space="preserve"> respect de cette condition</w:t>
      </w:r>
      <w:r w:rsidR="00625E1C" w:rsidRPr="00FF16BD">
        <w:rPr>
          <w:rFonts w:ascii="Arial" w:hAnsi="Arial" w:cs="Arial"/>
          <w:sz w:val="24"/>
          <w:szCs w:val="24"/>
          <w:lang w:val="fr-FR"/>
        </w:rPr>
        <w:t xml:space="preserve"> revient à s’assurer </w:t>
      </w:r>
      <w:r w:rsidR="00E86465" w:rsidRPr="00FF16BD">
        <w:rPr>
          <w:rFonts w:ascii="Arial" w:hAnsi="Arial" w:cs="Arial"/>
          <w:sz w:val="24"/>
          <w:szCs w:val="24"/>
          <w:lang w:val="fr-FR"/>
        </w:rPr>
        <w:t>à la fois</w:t>
      </w:r>
      <w:r w:rsidR="00625E1C" w:rsidRPr="00FF16BD">
        <w:rPr>
          <w:rFonts w:ascii="Arial" w:hAnsi="Arial" w:cs="Arial"/>
          <w:sz w:val="24"/>
          <w:szCs w:val="24"/>
          <w:lang w:val="fr-FR"/>
        </w:rPr>
        <w:t xml:space="preserve"> </w:t>
      </w:r>
      <w:r w:rsidR="00F75B8B" w:rsidRPr="00FF16BD">
        <w:rPr>
          <w:rFonts w:ascii="Arial" w:hAnsi="Arial" w:cs="Arial"/>
          <w:sz w:val="24"/>
          <w:szCs w:val="24"/>
          <w:lang w:val="fr-FR"/>
        </w:rPr>
        <w:t xml:space="preserve">que l’affaire </w:t>
      </w:r>
      <w:r w:rsidR="00B82862" w:rsidRPr="00FF16BD">
        <w:rPr>
          <w:rFonts w:ascii="Arial" w:hAnsi="Arial" w:cs="Arial"/>
          <w:sz w:val="24"/>
          <w:szCs w:val="24"/>
          <w:lang w:val="fr-FR"/>
        </w:rPr>
        <w:t>n’</w:t>
      </w:r>
      <w:r w:rsidR="00F75B8B" w:rsidRPr="00FF16BD">
        <w:rPr>
          <w:rFonts w:ascii="Arial" w:hAnsi="Arial" w:cs="Arial"/>
          <w:sz w:val="24"/>
          <w:szCs w:val="24"/>
          <w:lang w:val="fr-FR"/>
        </w:rPr>
        <w:t xml:space="preserve">a </w:t>
      </w:r>
      <w:r w:rsidR="00B82862" w:rsidRPr="00FF16BD">
        <w:rPr>
          <w:rFonts w:ascii="Arial" w:hAnsi="Arial" w:cs="Arial"/>
          <w:sz w:val="24"/>
          <w:szCs w:val="24"/>
          <w:lang w:val="fr-FR"/>
        </w:rPr>
        <w:t xml:space="preserve">pas </w:t>
      </w:r>
      <w:r w:rsidR="00625E1C" w:rsidRPr="00FF16BD">
        <w:rPr>
          <w:rFonts w:ascii="Arial" w:hAnsi="Arial" w:cs="Arial"/>
          <w:sz w:val="24"/>
          <w:szCs w:val="24"/>
          <w:lang w:val="fr-FR"/>
        </w:rPr>
        <w:t xml:space="preserve">été « réglée » et </w:t>
      </w:r>
      <w:r w:rsidR="00F75B8B" w:rsidRPr="00FF16BD">
        <w:rPr>
          <w:rFonts w:ascii="Arial" w:hAnsi="Arial" w:cs="Arial"/>
          <w:sz w:val="24"/>
          <w:szCs w:val="24"/>
          <w:lang w:val="fr-FR"/>
        </w:rPr>
        <w:t xml:space="preserve">qu’elle </w:t>
      </w:r>
      <w:r w:rsidR="00B82862" w:rsidRPr="00FF16BD">
        <w:rPr>
          <w:rFonts w:ascii="Arial" w:hAnsi="Arial" w:cs="Arial"/>
          <w:sz w:val="24"/>
          <w:szCs w:val="24"/>
          <w:lang w:val="fr-FR"/>
        </w:rPr>
        <w:t xml:space="preserve">ne </w:t>
      </w:r>
      <w:r w:rsidR="00F75B8B" w:rsidRPr="00FF16BD">
        <w:rPr>
          <w:rFonts w:ascii="Arial" w:hAnsi="Arial" w:cs="Arial"/>
          <w:sz w:val="24"/>
          <w:szCs w:val="24"/>
          <w:lang w:val="fr-FR"/>
        </w:rPr>
        <w:t xml:space="preserve">l’a </w:t>
      </w:r>
      <w:r w:rsidR="00B82862" w:rsidRPr="00FF16BD">
        <w:rPr>
          <w:rFonts w:ascii="Arial" w:hAnsi="Arial" w:cs="Arial"/>
          <w:sz w:val="24"/>
          <w:szCs w:val="24"/>
          <w:lang w:val="fr-FR"/>
        </w:rPr>
        <w:t xml:space="preserve">pas </w:t>
      </w:r>
      <w:r w:rsidR="00F75B8B" w:rsidRPr="00FF16BD">
        <w:rPr>
          <w:rFonts w:ascii="Arial" w:hAnsi="Arial" w:cs="Arial"/>
          <w:sz w:val="24"/>
          <w:szCs w:val="24"/>
          <w:lang w:val="fr-FR"/>
        </w:rPr>
        <w:t xml:space="preserve">été « conformément aux principes » auxquels il est fait référence. </w:t>
      </w:r>
    </w:p>
    <w:p w14:paraId="396E62BF" w14:textId="77777777" w:rsidR="00B82862" w:rsidRPr="00FF16BD" w:rsidRDefault="00B82862" w:rsidP="00917627">
      <w:pPr>
        <w:pStyle w:val="ListParagraph"/>
        <w:spacing w:line="360" w:lineRule="auto"/>
        <w:jc w:val="both"/>
        <w:rPr>
          <w:rFonts w:ascii="Arial" w:hAnsi="Arial" w:cs="Arial"/>
          <w:sz w:val="24"/>
          <w:szCs w:val="24"/>
          <w:lang w:val="fr-FR"/>
        </w:rPr>
      </w:pPr>
    </w:p>
    <w:p w14:paraId="0E1FF2A0" w14:textId="40C48E62" w:rsidR="00763778" w:rsidRPr="00FF16BD" w:rsidRDefault="00623063" w:rsidP="00623063">
      <w:pPr>
        <w:pStyle w:val="ListParagraph"/>
        <w:numPr>
          <w:ilvl w:val="0"/>
          <w:numId w:val="3"/>
        </w:numPr>
        <w:spacing w:line="360" w:lineRule="auto"/>
        <w:jc w:val="both"/>
        <w:rPr>
          <w:rFonts w:ascii="Arial" w:hAnsi="Arial" w:cs="Arial"/>
          <w:lang w:val="fr-FR"/>
        </w:rPr>
      </w:pPr>
      <w:r w:rsidRPr="00FF16BD">
        <w:rPr>
          <w:rFonts w:ascii="Arial" w:hAnsi="Arial" w:cs="Arial"/>
          <w:sz w:val="24"/>
          <w:szCs w:val="24"/>
          <w:lang w:val="fr-FR"/>
        </w:rPr>
        <w:t xml:space="preserve">La Cour observe que la notion </w:t>
      </w:r>
      <w:r w:rsidR="00A73F6D" w:rsidRPr="00FF16BD">
        <w:rPr>
          <w:rFonts w:ascii="Arial" w:hAnsi="Arial" w:cs="Arial"/>
          <w:sz w:val="24"/>
          <w:szCs w:val="24"/>
          <w:lang w:val="fr-FR"/>
        </w:rPr>
        <w:t>de « règlement »</w:t>
      </w:r>
      <w:r w:rsidRPr="00FF16BD">
        <w:rPr>
          <w:rFonts w:ascii="Arial" w:hAnsi="Arial" w:cs="Arial"/>
          <w:sz w:val="24"/>
          <w:szCs w:val="24"/>
          <w:lang w:val="fr-FR"/>
        </w:rPr>
        <w:t xml:space="preserve"> implique la réunion de</w:t>
      </w:r>
      <w:r w:rsidR="00A73F6D" w:rsidRPr="00FF16BD">
        <w:rPr>
          <w:rFonts w:ascii="Arial" w:hAnsi="Arial" w:cs="Arial"/>
          <w:sz w:val="24"/>
          <w:szCs w:val="24"/>
          <w:lang w:val="fr-FR"/>
        </w:rPr>
        <w:t xml:space="preserve"> </w:t>
      </w:r>
      <w:r w:rsidR="00034D52" w:rsidRPr="00FF16BD">
        <w:rPr>
          <w:rFonts w:ascii="Arial" w:hAnsi="Arial" w:cs="Arial"/>
          <w:sz w:val="24"/>
          <w:szCs w:val="24"/>
          <w:lang w:val="fr-FR"/>
        </w:rPr>
        <w:t>trois</w:t>
      </w:r>
      <w:r w:rsidR="00CB4EEC" w:rsidRPr="00FF16BD">
        <w:rPr>
          <w:rFonts w:ascii="Arial" w:hAnsi="Arial" w:cs="Arial"/>
          <w:sz w:val="24"/>
          <w:szCs w:val="24"/>
          <w:lang w:val="fr-FR"/>
        </w:rPr>
        <w:t xml:space="preserve"> conditions majeures </w:t>
      </w:r>
      <w:r w:rsidR="00D24DC2" w:rsidRPr="00FF16BD">
        <w:rPr>
          <w:rFonts w:ascii="Arial" w:hAnsi="Arial" w:cs="Arial"/>
          <w:sz w:val="24"/>
          <w:szCs w:val="24"/>
          <w:lang w:val="fr-FR"/>
        </w:rPr>
        <w:t>qui</w:t>
      </w:r>
      <w:r w:rsidRPr="00FF16BD">
        <w:rPr>
          <w:rFonts w:ascii="Arial" w:hAnsi="Arial" w:cs="Arial"/>
          <w:sz w:val="24"/>
          <w:szCs w:val="24"/>
          <w:lang w:val="fr-FR"/>
        </w:rPr>
        <w:t xml:space="preserve"> sont</w:t>
      </w:r>
      <w:r w:rsidR="00CB4EEC" w:rsidRPr="00FF16BD">
        <w:rPr>
          <w:rFonts w:ascii="Arial" w:hAnsi="Arial" w:cs="Arial"/>
          <w:sz w:val="24"/>
          <w:szCs w:val="24"/>
          <w:lang w:val="fr-FR"/>
        </w:rPr>
        <w:t> :</w:t>
      </w:r>
      <w:r w:rsidR="00034D52" w:rsidRPr="00FF16BD">
        <w:rPr>
          <w:rFonts w:ascii="Arial" w:hAnsi="Arial" w:cs="Arial"/>
          <w:sz w:val="24"/>
          <w:szCs w:val="24"/>
          <w:lang w:val="fr-FR"/>
        </w:rPr>
        <w:t xml:space="preserve"> </w:t>
      </w:r>
      <w:r w:rsidR="003B05AB" w:rsidRPr="00FF16BD">
        <w:rPr>
          <w:rFonts w:ascii="Arial" w:hAnsi="Arial" w:cs="Arial"/>
          <w:sz w:val="24"/>
          <w:szCs w:val="24"/>
          <w:lang w:val="fr-FR"/>
        </w:rPr>
        <w:t>1) l’identité des parties ; 2</w:t>
      </w:r>
      <w:r w:rsidR="00F400A0" w:rsidRPr="00FF16BD">
        <w:rPr>
          <w:rFonts w:ascii="Arial" w:hAnsi="Arial" w:cs="Arial"/>
          <w:sz w:val="24"/>
          <w:szCs w:val="24"/>
          <w:lang w:val="fr-FR"/>
        </w:rPr>
        <w:t>) l’identité des demandes ou leur caractère additionnel, alternatif ou découlant d’une demande introduite dans une première cause</w:t>
      </w:r>
      <w:r w:rsidR="003B05AB" w:rsidRPr="00FF16BD">
        <w:rPr>
          <w:rFonts w:ascii="Arial" w:hAnsi="Arial" w:cs="Arial"/>
          <w:sz w:val="24"/>
          <w:szCs w:val="24"/>
          <w:lang w:val="fr-FR"/>
        </w:rPr>
        <w:t> ; et 3) l’existence d’une première décision sur le fond</w:t>
      </w:r>
      <w:r w:rsidR="002F7468" w:rsidRPr="00FF16BD">
        <w:rPr>
          <w:rStyle w:val="FootnoteReference"/>
          <w:rFonts w:ascii="Arial" w:hAnsi="Arial" w:cs="Arial"/>
          <w:sz w:val="24"/>
          <w:szCs w:val="24"/>
          <w:lang w:val="fr-FR"/>
        </w:rPr>
        <w:footnoteReference w:id="5"/>
      </w:r>
      <w:r w:rsidR="00E73A95" w:rsidRPr="00FF16BD">
        <w:rPr>
          <w:lang w:val="fr-FR"/>
        </w:rPr>
        <w:t>.</w:t>
      </w:r>
    </w:p>
    <w:p w14:paraId="7AAB9221" w14:textId="77777777" w:rsidR="00763778" w:rsidRPr="00FF16BD" w:rsidRDefault="00763778" w:rsidP="00917627">
      <w:pPr>
        <w:pStyle w:val="ListParagraph"/>
        <w:spacing w:line="360" w:lineRule="auto"/>
        <w:jc w:val="both"/>
        <w:rPr>
          <w:rFonts w:ascii="Arial" w:hAnsi="Arial" w:cs="Arial"/>
          <w:sz w:val="24"/>
          <w:szCs w:val="24"/>
          <w:lang w:val="fr-FR"/>
        </w:rPr>
      </w:pPr>
    </w:p>
    <w:p w14:paraId="0B130962" w14:textId="3A155092" w:rsidR="00C23425" w:rsidRPr="00FF16BD" w:rsidRDefault="003B05AB" w:rsidP="00A41723">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En ce qui con</w:t>
      </w:r>
      <w:r w:rsidR="00330E74" w:rsidRPr="00FF16BD">
        <w:rPr>
          <w:rFonts w:ascii="Arial" w:hAnsi="Arial" w:cs="Arial"/>
          <w:sz w:val="24"/>
          <w:szCs w:val="24"/>
          <w:lang w:val="fr-FR"/>
        </w:rPr>
        <w:t xml:space="preserve">cerne la première condition, il y a lieu d’établir seulement l’identité des requérants étant donné qu’il n’y a pas de doute sur ce que l’Etat de Côte d’Ivoire est défendeur dans les deux causes. </w:t>
      </w:r>
      <w:r w:rsidR="00E86465" w:rsidRPr="00FF16BD">
        <w:rPr>
          <w:rFonts w:ascii="Arial" w:hAnsi="Arial" w:cs="Arial"/>
          <w:sz w:val="24"/>
          <w:szCs w:val="24"/>
          <w:lang w:val="fr-FR"/>
        </w:rPr>
        <w:t>A</w:t>
      </w:r>
      <w:r w:rsidRPr="00FF16BD">
        <w:rPr>
          <w:rFonts w:ascii="Arial" w:hAnsi="Arial" w:cs="Arial"/>
          <w:sz w:val="24"/>
          <w:szCs w:val="24"/>
          <w:lang w:val="fr-FR"/>
        </w:rPr>
        <w:t xml:space="preserve"> première vue</w:t>
      </w:r>
      <w:r w:rsidR="00E86465" w:rsidRPr="00FF16BD">
        <w:rPr>
          <w:rFonts w:ascii="Arial" w:hAnsi="Arial" w:cs="Arial"/>
          <w:sz w:val="24"/>
          <w:szCs w:val="24"/>
          <w:lang w:val="fr-FR"/>
        </w:rPr>
        <w:t>,</w:t>
      </w:r>
      <w:r w:rsidRPr="00FF16BD">
        <w:rPr>
          <w:rFonts w:ascii="Arial" w:hAnsi="Arial" w:cs="Arial"/>
          <w:sz w:val="24"/>
          <w:szCs w:val="24"/>
          <w:lang w:val="fr-FR"/>
        </w:rPr>
        <w:t xml:space="preserve"> le Requérant devant la Cour de céans est le sieur Jean-Claude Roger GOMBERT alors que </w:t>
      </w:r>
      <w:r w:rsidR="00330E74" w:rsidRPr="00FF16BD">
        <w:rPr>
          <w:rFonts w:ascii="Arial" w:hAnsi="Arial" w:cs="Arial"/>
          <w:sz w:val="24"/>
          <w:szCs w:val="24"/>
          <w:lang w:val="fr-FR"/>
        </w:rPr>
        <w:t xml:space="preserve">la Société AGRILAND avait agi </w:t>
      </w:r>
      <w:r w:rsidRPr="00FF16BD">
        <w:rPr>
          <w:rFonts w:ascii="Arial" w:hAnsi="Arial" w:cs="Arial"/>
          <w:sz w:val="24"/>
          <w:szCs w:val="24"/>
          <w:lang w:val="fr-FR"/>
        </w:rPr>
        <w:t xml:space="preserve">devant la Cour de justice </w:t>
      </w:r>
      <w:r w:rsidR="00EE2E18" w:rsidRPr="00FF16BD">
        <w:rPr>
          <w:rFonts w:ascii="Arial" w:hAnsi="Arial" w:cs="Arial"/>
          <w:sz w:val="24"/>
          <w:szCs w:val="24"/>
          <w:lang w:val="fr-FR"/>
        </w:rPr>
        <w:t>de la CEDEAO. Cependant, un examen plus approfondi</w:t>
      </w:r>
      <w:r w:rsidR="00E87A5E" w:rsidRPr="00FF16BD">
        <w:rPr>
          <w:rFonts w:ascii="Arial" w:hAnsi="Arial" w:cs="Arial"/>
          <w:sz w:val="24"/>
          <w:szCs w:val="24"/>
          <w:lang w:val="fr-FR"/>
        </w:rPr>
        <w:t xml:space="preserve"> des élé</w:t>
      </w:r>
      <w:r w:rsidR="00EE2E18" w:rsidRPr="00FF16BD">
        <w:rPr>
          <w:rFonts w:ascii="Arial" w:hAnsi="Arial" w:cs="Arial"/>
          <w:sz w:val="24"/>
          <w:szCs w:val="24"/>
          <w:lang w:val="fr-FR"/>
        </w:rPr>
        <w:t xml:space="preserve">ments du dossier révèle que devant la Cour de justice de la CEDEAO, la Société AGRILAND agissait comme demanderesse « aux poursuites et diligences de son Président Directeur Général, Monsieur Jean-Claude GOMBERT ayant élu domicile en l’étude de son conseil Maître Emile SONTE, avocat à la Cour d’appel d’Abidjan ». La Requête dont a été saisie la Cour de céans a, quant à elle, été introduite par « Monsieur GOMBERT Jean-Claude Roger pour qui domicile est élu en l’étude de son conseil, Maître SONTE Emile, avocat à la Cour d’appel d’Abidjan ». </w:t>
      </w:r>
    </w:p>
    <w:p w14:paraId="7C331089" w14:textId="77777777" w:rsidR="00403084" w:rsidRPr="00FF16BD" w:rsidRDefault="00403084" w:rsidP="00E66468">
      <w:pPr>
        <w:pStyle w:val="ListParagraph"/>
        <w:spacing w:line="360" w:lineRule="auto"/>
        <w:jc w:val="both"/>
        <w:rPr>
          <w:rFonts w:ascii="Arial" w:hAnsi="Arial" w:cs="Arial"/>
          <w:sz w:val="24"/>
          <w:szCs w:val="24"/>
          <w:lang w:val="fr-FR"/>
        </w:rPr>
      </w:pPr>
    </w:p>
    <w:p w14:paraId="519E83EC" w14:textId="7EA9CB7C" w:rsidR="00623063" w:rsidRPr="00FF16BD" w:rsidRDefault="0027729D"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w:t>
      </w:r>
      <w:r w:rsidR="00623063" w:rsidRPr="00FF16BD">
        <w:rPr>
          <w:rFonts w:ascii="Arial" w:hAnsi="Arial" w:cs="Arial"/>
          <w:sz w:val="24"/>
          <w:szCs w:val="24"/>
          <w:lang w:val="fr-FR"/>
        </w:rPr>
        <w:t xml:space="preserve">de céans </w:t>
      </w:r>
      <w:r w:rsidR="006337E3" w:rsidRPr="00FF16BD">
        <w:rPr>
          <w:rFonts w:ascii="Arial" w:hAnsi="Arial" w:cs="Arial"/>
          <w:sz w:val="24"/>
          <w:szCs w:val="24"/>
          <w:lang w:val="fr-FR"/>
        </w:rPr>
        <w:t>considère</w:t>
      </w:r>
      <w:r w:rsidR="00623063" w:rsidRPr="00FF16BD">
        <w:rPr>
          <w:rFonts w:ascii="Arial" w:hAnsi="Arial" w:cs="Arial"/>
          <w:sz w:val="24"/>
          <w:szCs w:val="24"/>
          <w:lang w:val="fr-FR"/>
        </w:rPr>
        <w:t xml:space="preserve"> qu’en tant que juridiction des droits de l’homme et des peuples, elle ne peut </w:t>
      </w:r>
      <w:r w:rsidR="006337E3" w:rsidRPr="00FF16BD">
        <w:rPr>
          <w:rFonts w:ascii="Arial" w:hAnsi="Arial" w:cs="Arial"/>
          <w:sz w:val="24"/>
          <w:szCs w:val="24"/>
          <w:lang w:val="fr-FR"/>
        </w:rPr>
        <w:t xml:space="preserve">en principe </w:t>
      </w:r>
      <w:r w:rsidR="00FA5BF3" w:rsidRPr="00FF16BD">
        <w:rPr>
          <w:rFonts w:ascii="Arial" w:hAnsi="Arial" w:cs="Arial"/>
          <w:sz w:val="24"/>
          <w:szCs w:val="24"/>
          <w:lang w:val="fr-FR"/>
        </w:rPr>
        <w:t>connaître</w:t>
      </w:r>
      <w:r w:rsidR="00623063" w:rsidRPr="00FF16BD">
        <w:rPr>
          <w:rFonts w:ascii="Arial" w:hAnsi="Arial" w:cs="Arial"/>
          <w:sz w:val="24"/>
          <w:szCs w:val="24"/>
          <w:lang w:val="fr-FR"/>
        </w:rPr>
        <w:t xml:space="preserve"> que </w:t>
      </w:r>
      <w:r w:rsidR="00FA5BF3" w:rsidRPr="00FF16BD">
        <w:rPr>
          <w:rFonts w:ascii="Arial" w:hAnsi="Arial" w:cs="Arial"/>
          <w:sz w:val="24"/>
          <w:szCs w:val="24"/>
          <w:lang w:val="fr-FR"/>
        </w:rPr>
        <w:t>des</w:t>
      </w:r>
      <w:r w:rsidR="00623063" w:rsidRPr="00FF16BD">
        <w:rPr>
          <w:rFonts w:ascii="Arial" w:hAnsi="Arial" w:cs="Arial"/>
          <w:sz w:val="24"/>
          <w:szCs w:val="24"/>
          <w:lang w:val="fr-FR"/>
        </w:rPr>
        <w:t xml:space="preserve"> violations des droits des </w:t>
      </w:r>
      <w:r w:rsidR="006337E3" w:rsidRPr="00FF16BD">
        <w:rPr>
          <w:rFonts w:ascii="Arial" w:hAnsi="Arial" w:cs="Arial"/>
          <w:sz w:val="24"/>
          <w:szCs w:val="24"/>
          <w:lang w:val="fr-FR"/>
        </w:rPr>
        <w:t xml:space="preserve">individus, </w:t>
      </w:r>
      <w:r w:rsidR="00623063" w:rsidRPr="00FF16BD">
        <w:rPr>
          <w:rFonts w:ascii="Arial" w:hAnsi="Arial" w:cs="Arial"/>
          <w:sz w:val="24"/>
          <w:szCs w:val="24"/>
          <w:lang w:val="fr-FR"/>
        </w:rPr>
        <w:t xml:space="preserve">des groupes </w:t>
      </w:r>
      <w:r w:rsidR="006337E3" w:rsidRPr="00FF16BD">
        <w:rPr>
          <w:rFonts w:ascii="Arial" w:hAnsi="Arial" w:cs="Arial"/>
          <w:sz w:val="24"/>
          <w:szCs w:val="24"/>
          <w:lang w:val="fr-FR"/>
        </w:rPr>
        <w:t>d’individus ou des peuples</w:t>
      </w:r>
      <w:r w:rsidR="00795831" w:rsidRPr="00FF16BD">
        <w:rPr>
          <w:rFonts w:ascii="Arial" w:hAnsi="Arial" w:cs="Arial"/>
          <w:sz w:val="24"/>
          <w:szCs w:val="24"/>
          <w:lang w:val="fr-FR"/>
        </w:rPr>
        <w:t xml:space="preserve"> sur saisine des </w:t>
      </w:r>
      <w:r w:rsidR="00795831" w:rsidRPr="00FF16BD">
        <w:rPr>
          <w:rFonts w:ascii="Arial" w:hAnsi="Arial" w:cs="Arial"/>
          <w:sz w:val="24"/>
          <w:szCs w:val="24"/>
          <w:lang w:val="fr-FR"/>
        </w:rPr>
        <w:lastRenderedPageBreak/>
        <w:t>entités et personnes mentionnées à l’article 5 du Protocole</w:t>
      </w:r>
      <w:r w:rsidR="006337E3" w:rsidRPr="00FF16BD">
        <w:rPr>
          <w:rFonts w:ascii="Arial" w:hAnsi="Arial" w:cs="Arial"/>
          <w:sz w:val="24"/>
          <w:szCs w:val="24"/>
          <w:lang w:val="fr-FR"/>
        </w:rPr>
        <w:t xml:space="preserve"> mais pas </w:t>
      </w:r>
      <w:r w:rsidR="00FA5BF3" w:rsidRPr="00FF16BD">
        <w:rPr>
          <w:rFonts w:ascii="Arial" w:hAnsi="Arial" w:cs="Arial"/>
          <w:sz w:val="24"/>
          <w:szCs w:val="24"/>
          <w:lang w:val="fr-FR"/>
        </w:rPr>
        <w:t>des</w:t>
      </w:r>
      <w:r w:rsidR="006337E3" w:rsidRPr="00FF16BD">
        <w:rPr>
          <w:rFonts w:ascii="Arial" w:hAnsi="Arial" w:cs="Arial"/>
          <w:sz w:val="24"/>
          <w:szCs w:val="24"/>
          <w:lang w:val="fr-FR"/>
        </w:rPr>
        <w:t xml:space="preserve"> droits des autres </w:t>
      </w:r>
      <w:r w:rsidR="00623063" w:rsidRPr="00FF16BD">
        <w:rPr>
          <w:rFonts w:ascii="Arial" w:hAnsi="Arial" w:cs="Arial"/>
          <w:sz w:val="24"/>
          <w:szCs w:val="24"/>
          <w:lang w:val="fr-FR"/>
        </w:rPr>
        <w:t xml:space="preserve">personnes morales de droit privé ou de droit public. </w:t>
      </w:r>
    </w:p>
    <w:p w14:paraId="7E43C209" w14:textId="77777777" w:rsidR="00623063" w:rsidRPr="00FF16BD" w:rsidRDefault="00623063" w:rsidP="00F33A82">
      <w:pPr>
        <w:pStyle w:val="ListParagraph"/>
        <w:spacing w:line="360" w:lineRule="auto"/>
        <w:jc w:val="both"/>
        <w:rPr>
          <w:rFonts w:ascii="Arial" w:hAnsi="Arial" w:cs="Arial"/>
          <w:sz w:val="24"/>
          <w:szCs w:val="24"/>
          <w:lang w:val="fr-FR"/>
        </w:rPr>
      </w:pPr>
    </w:p>
    <w:p w14:paraId="52A8B32E" w14:textId="3048882C" w:rsidR="008C237A" w:rsidRPr="00FF16BD" w:rsidRDefault="00623063"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En l’espèce, la Cour relève qu’en dépit du fait que la Société AGRILAND était demanderesse devant la Cour de justice de la CEDEAO, les droits auxquels </w:t>
      </w:r>
      <w:r w:rsidR="008F23F6" w:rsidRPr="00FF16BD">
        <w:rPr>
          <w:rFonts w:ascii="Arial" w:hAnsi="Arial" w:cs="Arial"/>
          <w:sz w:val="24"/>
          <w:szCs w:val="24"/>
          <w:lang w:val="fr-FR"/>
        </w:rPr>
        <w:t xml:space="preserve">elle </w:t>
      </w:r>
      <w:r w:rsidRPr="00FF16BD">
        <w:rPr>
          <w:rFonts w:ascii="Arial" w:hAnsi="Arial" w:cs="Arial"/>
          <w:sz w:val="24"/>
          <w:szCs w:val="24"/>
          <w:lang w:val="fr-FR"/>
        </w:rPr>
        <w:t>prétend</w:t>
      </w:r>
      <w:r w:rsidR="008F23F6" w:rsidRPr="00FF16BD">
        <w:rPr>
          <w:rFonts w:ascii="Arial" w:hAnsi="Arial" w:cs="Arial"/>
          <w:sz w:val="24"/>
          <w:szCs w:val="24"/>
          <w:lang w:val="fr-FR"/>
        </w:rPr>
        <w:t>ait</w:t>
      </w:r>
      <w:r w:rsidRPr="00FF16BD">
        <w:rPr>
          <w:rFonts w:ascii="Arial" w:hAnsi="Arial" w:cs="Arial"/>
          <w:sz w:val="24"/>
          <w:szCs w:val="24"/>
          <w:lang w:val="fr-FR"/>
        </w:rPr>
        <w:t xml:space="preserve"> affectent directem</w:t>
      </w:r>
      <w:r w:rsidR="008C237A" w:rsidRPr="00FF16BD">
        <w:rPr>
          <w:rFonts w:ascii="Arial" w:hAnsi="Arial" w:cs="Arial"/>
          <w:sz w:val="24"/>
          <w:szCs w:val="24"/>
          <w:lang w:val="fr-FR"/>
        </w:rPr>
        <w:t>ent les droits individuels du Re</w:t>
      </w:r>
      <w:r w:rsidRPr="00FF16BD">
        <w:rPr>
          <w:rFonts w:ascii="Arial" w:hAnsi="Arial" w:cs="Arial"/>
          <w:sz w:val="24"/>
          <w:szCs w:val="24"/>
          <w:lang w:val="fr-FR"/>
        </w:rPr>
        <w:t>q</w:t>
      </w:r>
      <w:r w:rsidR="008F23F6" w:rsidRPr="00FF16BD">
        <w:rPr>
          <w:rFonts w:ascii="Arial" w:hAnsi="Arial" w:cs="Arial"/>
          <w:sz w:val="24"/>
          <w:szCs w:val="24"/>
          <w:lang w:val="fr-FR"/>
        </w:rPr>
        <w:t xml:space="preserve">uérant devant la Cour de céans, vu qu’il </w:t>
      </w:r>
      <w:r w:rsidR="00FA5BF3" w:rsidRPr="00FF16BD">
        <w:rPr>
          <w:rFonts w:ascii="Arial" w:hAnsi="Arial" w:cs="Arial"/>
          <w:sz w:val="24"/>
          <w:szCs w:val="24"/>
          <w:lang w:val="fr-FR"/>
        </w:rPr>
        <w:t>est Président Directeur Général, fondateur et actionnaire majoritaire de ladite Société.</w:t>
      </w:r>
    </w:p>
    <w:p w14:paraId="34E300F8" w14:textId="77777777" w:rsidR="008C237A" w:rsidRPr="00FF16BD" w:rsidRDefault="008C237A" w:rsidP="00F33A82">
      <w:pPr>
        <w:pStyle w:val="ListParagraph"/>
        <w:spacing w:line="360" w:lineRule="auto"/>
        <w:jc w:val="both"/>
        <w:rPr>
          <w:rFonts w:ascii="Arial" w:hAnsi="Arial" w:cs="Arial"/>
          <w:sz w:val="24"/>
          <w:szCs w:val="24"/>
          <w:lang w:val="fr-FR"/>
        </w:rPr>
      </w:pPr>
    </w:p>
    <w:p w14:paraId="4E0E5C2B" w14:textId="7F27D6E0" w:rsidR="0027729D" w:rsidRPr="00FF16BD" w:rsidRDefault="008C237A"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De qui précède, la Cour</w:t>
      </w:r>
      <w:r w:rsidR="0027729D" w:rsidRPr="00FF16BD">
        <w:rPr>
          <w:rFonts w:ascii="Arial" w:hAnsi="Arial" w:cs="Arial"/>
          <w:sz w:val="24"/>
          <w:szCs w:val="24"/>
          <w:lang w:val="fr-FR"/>
        </w:rPr>
        <w:t xml:space="preserve"> conclut à l’identité des parties</w:t>
      </w:r>
      <w:r w:rsidR="00E86465" w:rsidRPr="00FF16BD">
        <w:rPr>
          <w:rFonts w:ascii="Arial" w:hAnsi="Arial" w:cs="Arial"/>
          <w:sz w:val="24"/>
          <w:szCs w:val="24"/>
          <w:lang w:val="fr-FR"/>
        </w:rPr>
        <w:t xml:space="preserve"> et</w:t>
      </w:r>
      <w:r w:rsidR="001E1447" w:rsidRPr="00FF16BD">
        <w:rPr>
          <w:rFonts w:ascii="Arial" w:hAnsi="Arial" w:cs="Arial"/>
          <w:sz w:val="24"/>
          <w:szCs w:val="24"/>
          <w:lang w:val="fr-FR"/>
        </w:rPr>
        <w:t>, par conséquent,</w:t>
      </w:r>
      <w:r w:rsidR="00E86465" w:rsidRPr="00FF16BD">
        <w:rPr>
          <w:rFonts w:ascii="Arial" w:hAnsi="Arial" w:cs="Arial"/>
          <w:sz w:val="24"/>
          <w:szCs w:val="24"/>
          <w:lang w:val="fr-FR"/>
        </w:rPr>
        <w:t xml:space="preserve"> au respect de la première condition</w:t>
      </w:r>
      <w:r w:rsidR="0027729D" w:rsidRPr="00FF16BD">
        <w:rPr>
          <w:rFonts w:ascii="Arial" w:hAnsi="Arial" w:cs="Arial"/>
          <w:sz w:val="24"/>
          <w:szCs w:val="24"/>
          <w:lang w:val="fr-FR"/>
        </w:rPr>
        <w:t xml:space="preserve">. </w:t>
      </w:r>
    </w:p>
    <w:p w14:paraId="17F2B5F7" w14:textId="77777777" w:rsidR="003B05AB" w:rsidRPr="00FF16BD" w:rsidRDefault="003B05AB" w:rsidP="00917627">
      <w:pPr>
        <w:pStyle w:val="ListParagraph"/>
        <w:spacing w:line="360" w:lineRule="auto"/>
        <w:jc w:val="both"/>
        <w:rPr>
          <w:rFonts w:ascii="Arial" w:hAnsi="Arial" w:cs="Arial"/>
          <w:sz w:val="24"/>
          <w:szCs w:val="24"/>
          <w:lang w:val="fr-FR"/>
        </w:rPr>
      </w:pPr>
    </w:p>
    <w:p w14:paraId="553B7E20" w14:textId="52F043D7" w:rsidR="003B05AB" w:rsidRPr="00FF16BD" w:rsidRDefault="00D954BD" w:rsidP="00F82E0C">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Pour ce qui est de</w:t>
      </w:r>
      <w:r w:rsidR="00034D52" w:rsidRPr="00FF16BD">
        <w:rPr>
          <w:rFonts w:ascii="Arial" w:hAnsi="Arial" w:cs="Arial"/>
          <w:sz w:val="24"/>
          <w:szCs w:val="24"/>
          <w:lang w:val="fr-FR"/>
        </w:rPr>
        <w:t xml:space="preserve"> la </w:t>
      </w:r>
      <w:r w:rsidR="00E86465" w:rsidRPr="00FF16BD">
        <w:rPr>
          <w:rFonts w:ascii="Arial" w:hAnsi="Arial" w:cs="Arial"/>
          <w:sz w:val="24"/>
          <w:szCs w:val="24"/>
          <w:lang w:val="fr-FR"/>
        </w:rPr>
        <w:t xml:space="preserve">deuxième </w:t>
      </w:r>
      <w:r w:rsidR="00034D52" w:rsidRPr="00FF16BD">
        <w:rPr>
          <w:rFonts w:ascii="Arial" w:hAnsi="Arial" w:cs="Arial"/>
          <w:sz w:val="24"/>
          <w:szCs w:val="24"/>
          <w:lang w:val="fr-FR"/>
        </w:rPr>
        <w:t xml:space="preserve">condition, </w:t>
      </w:r>
      <w:r w:rsidR="00F82E0C" w:rsidRPr="00FF16BD">
        <w:rPr>
          <w:rFonts w:ascii="Arial" w:hAnsi="Arial" w:cs="Arial"/>
          <w:sz w:val="24"/>
          <w:szCs w:val="24"/>
          <w:lang w:val="fr-FR"/>
        </w:rPr>
        <w:t>à savoir</w:t>
      </w:r>
      <w:r w:rsidR="00E86465" w:rsidRPr="00FF16BD">
        <w:rPr>
          <w:rFonts w:ascii="Arial" w:hAnsi="Arial" w:cs="Arial"/>
          <w:sz w:val="24"/>
          <w:szCs w:val="24"/>
          <w:lang w:val="fr-FR"/>
        </w:rPr>
        <w:t xml:space="preserve"> </w:t>
      </w:r>
      <w:r w:rsidRPr="00FF16BD">
        <w:rPr>
          <w:rFonts w:ascii="Arial" w:hAnsi="Arial" w:cs="Arial"/>
          <w:sz w:val="24"/>
          <w:szCs w:val="24"/>
          <w:lang w:val="fr-FR"/>
        </w:rPr>
        <w:t xml:space="preserve">l’identité des demandes, </w:t>
      </w:r>
      <w:r w:rsidR="00034D52" w:rsidRPr="00FF16BD">
        <w:rPr>
          <w:rFonts w:ascii="Arial" w:hAnsi="Arial" w:cs="Arial"/>
          <w:sz w:val="24"/>
          <w:szCs w:val="24"/>
          <w:lang w:val="fr-FR"/>
        </w:rPr>
        <w:t xml:space="preserve">la Cour </w:t>
      </w:r>
      <w:r w:rsidR="00551FA7" w:rsidRPr="00FF16BD">
        <w:rPr>
          <w:rFonts w:ascii="Arial" w:hAnsi="Arial" w:cs="Arial"/>
          <w:sz w:val="24"/>
          <w:szCs w:val="24"/>
          <w:lang w:val="fr-FR"/>
        </w:rPr>
        <w:t xml:space="preserve">de céans </w:t>
      </w:r>
      <w:r w:rsidR="003B00AE" w:rsidRPr="00FF16BD">
        <w:rPr>
          <w:rFonts w:ascii="Arial" w:hAnsi="Arial" w:cs="Arial"/>
          <w:sz w:val="24"/>
          <w:szCs w:val="24"/>
          <w:lang w:val="fr-FR"/>
        </w:rPr>
        <w:t>note que</w:t>
      </w:r>
      <w:r w:rsidR="00E86465" w:rsidRPr="00FF16BD">
        <w:rPr>
          <w:rFonts w:ascii="Arial" w:hAnsi="Arial" w:cs="Arial"/>
          <w:sz w:val="24"/>
          <w:szCs w:val="24"/>
          <w:lang w:val="fr-FR"/>
        </w:rPr>
        <w:t xml:space="preserve"> dans</w:t>
      </w:r>
      <w:r w:rsidR="003B00AE" w:rsidRPr="00FF16BD">
        <w:rPr>
          <w:rFonts w:ascii="Arial" w:hAnsi="Arial" w:cs="Arial"/>
          <w:sz w:val="24"/>
          <w:szCs w:val="24"/>
          <w:lang w:val="fr-FR"/>
        </w:rPr>
        <w:t xml:space="preserve"> </w:t>
      </w:r>
      <w:r w:rsidR="00E86465" w:rsidRPr="00FF16BD">
        <w:rPr>
          <w:rFonts w:ascii="Arial" w:hAnsi="Arial" w:cs="Arial"/>
          <w:sz w:val="24"/>
          <w:szCs w:val="24"/>
          <w:lang w:val="fr-FR"/>
        </w:rPr>
        <w:t>l</w:t>
      </w:r>
      <w:r w:rsidR="00F82E0C" w:rsidRPr="00FF16BD">
        <w:rPr>
          <w:rFonts w:ascii="Arial" w:hAnsi="Arial" w:cs="Arial"/>
          <w:sz w:val="24"/>
          <w:szCs w:val="24"/>
          <w:lang w:val="fr-FR"/>
        </w:rPr>
        <w:t>a cause examinée par la Cour de justice de la CEDEAO, le Requérant demandait à ladite juridiction de « dire et juger que les actes posés et les décisions rendues par les juridictions ivoiriennes … constituent de graves violations de ses droits » garantis</w:t>
      </w:r>
      <w:r w:rsidR="00144EF8" w:rsidRPr="00FF16BD">
        <w:rPr>
          <w:rFonts w:ascii="Arial" w:hAnsi="Arial" w:cs="Arial"/>
          <w:sz w:val="24"/>
          <w:szCs w:val="24"/>
          <w:lang w:val="fr-FR"/>
        </w:rPr>
        <w:t>,</w:t>
      </w:r>
      <w:r w:rsidR="00F82E0C" w:rsidRPr="00FF16BD">
        <w:rPr>
          <w:rFonts w:ascii="Arial" w:hAnsi="Arial" w:cs="Arial"/>
          <w:sz w:val="24"/>
          <w:szCs w:val="24"/>
          <w:lang w:val="fr-FR"/>
        </w:rPr>
        <w:t xml:space="preserve"> entre autres</w:t>
      </w:r>
      <w:r w:rsidR="00144EF8" w:rsidRPr="00FF16BD">
        <w:rPr>
          <w:rFonts w:ascii="Arial" w:hAnsi="Arial" w:cs="Arial"/>
          <w:sz w:val="24"/>
          <w:szCs w:val="24"/>
          <w:lang w:val="fr-FR"/>
        </w:rPr>
        <w:t>,</w:t>
      </w:r>
      <w:r w:rsidR="00F82E0C" w:rsidRPr="00FF16BD">
        <w:rPr>
          <w:rFonts w:ascii="Arial" w:hAnsi="Arial" w:cs="Arial"/>
          <w:sz w:val="24"/>
          <w:szCs w:val="24"/>
          <w:lang w:val="fr-FR"/>
        </w:rPr>
        <w:t xml:space="preserve"> par la Charte et de « condamner l’Etat de Côte d’Ivoire à lui payer la somme de deux milliards (2.000.000.000) FCFA de dommages et intérêts</w:t>
      </w:r>
      <w:r w:rsidR="005B5DE4" w:rsidRPr="00FF16BD">
        <w:rPr>
          <w:rFonts w:ascii="Arial" w:hAnsi="Arial" w:cs="Arial"/>
          <w:sz w:val="24"/>
          <w:szCs w:val="24"/>
          <w:lang w:val="fr-FR"/>
        </w:rPr>
        <w:t> »</w:t>
      </w:r>
      <w:r w:rsidR="00F82E0C" w:rsidRPr="00FF16BD">
        <w:rPr>
          <w:rFonts w:ascii="Arial" w:hAnsi="Arial" w:cs="Arial"/>
          <w:sz w:val="24"/>
          <w:szCs w:val="24"/>
          <w:lang w:val="fr-FR"/>
        </w:rPr>
        <w:t xml:space="preserve"> ainsi que les dépens de l’instance. </w:t>
      </w:r>
      <w:r w:rsidR="00144EF8" w:rsidRPr="00FF16BD">
        <w:rPr>
          <w:rFonts w:ascii="Arial" w:hAnsi="Arial" w:cs="Arial"/>
          <w:sz w:val="24"/>
          <w:szCs w:val="24"/>
          <w:lang w:val="fr-FR"/>
        </w:rPr>
        <w:t>Ces demandes sont identi</w:t>
      </w:r>
      <w:r w:rsidR="00F82E0C" w:rsidRPr="00FF16BD">
        <w:rPr>
          <w:rFonts w:ascii="Arial" w:hAnsi="Arial" w:cs="Arial"/>
          <w:sz w:val="24"/>
          <w:szCs w:val="24"/>
          <w:lang w:val="fr-FR"/>
        </w:rPr>
        <w:t xml:space="preserve">ques à celles formulées devant la Cour de céans </w:t>
      </w:r>
      <w:r w:rsidR="005B5DE4" w:rsidRPr="00FF16BD">
        <w:rPr>
          <w:rFonts w:ascii="Arial" w:hAnsi="Arial" w:cs="Arial"/>
          <w:sz w:val="24"/>
          <w:szCs w:val="24"/>
          <w:lang w:val="fr-FR"/>
        </w:rPr>
        <w:t xml:space="preserve">à l’exception de celle </w:t>
      </w:r>
      <w:r w:rsidR="00041DDA" w:rsidRPr="00FF16BD">
        <w:rPr>
          <w:rFonts w:ascii="Arial" w:hAnsi="Arial" w:cs="Arial"/>
          <w:sz w:val="24"/>
          <w:szCs w:val="24"/>
          <w:lang w:val="fr-FR"/>
        </w:rPr>
        <w:t>relative à la</w:t>
      </w:r>
      <w:r w:rsidR="005B5DE4" w:rsidRPr="00FF16BD">
        <w:rPr>
          <w:rFonts w:ascii="Arial" w:hAnsi="Arial" w:cs="Arial"/>
          <w:sz w:val="24"/>
          <w:szCs w:val="24"/>
          <w:lang w:val="fr-FR"/>
        </w:rPr>
        <w:t xml:space="preserve"> partialité de la Cour d’appel de Daloa</w:t>
      </w:r>
      <w:r w:rsidR="00F82E0C" w:rsidRPr="00FF16BD">
        <w:rPr>
          <w:rFonts w:ascii="Arial" w:hAnsi="Arial" w:cs="Arial"/>
          <w:sz w:val="24"/>
          <w:szCs w:val="24"/>
          <w:lang w:val="fr-FR"/>
        </w:rPr>
        <w:t xml:space="preserve">. </w:t>
      </w:r>
      <w:r w:rsidR="003B00AE" w:rsidRPr="00FF16BD">
        <w:rPr>
          <w:rFonts w:ascii="Arial" w:hAnsi="Arial" w:cs="Arial"/>
          <w:sz w:val="24"/>
          <w:szCs w:val="24"/>
          <w:lang w:val="fr-FR"/>
        </w:rPr>
        <w:t xml:space="preserve"> </w:t>
      </w:r>
    </w:p>
    <w:p w14:paraId="666270B5" w14:textId="77777777" w:rsidR="005B5DE4" w:rsidRPr="00FF16BD" w:rsidRDefault="005B5DE4" w:rsidP="00E66468">
      <w:pPr>
        <w:pStyle w:val="ListParagraph"/>
        <w:spacing w:line="360" w:lineRule="auto"/>
        <w:jc w:val="both"/>
        <w:rPr>
          <w:rFonts w:ascii="Arial" w:hAnsi="Arial" w:cs="Arial"/>
          <w:sz w:val="24"/>
          <w:szCs w:val="24"/>
          <w:lang w:val="fr-FR"/>
        </w:rPr>
      </w:pPr>
    </w:p>
    <w:p w14:paraId="698ABCD9" w14:textId="55284471" w:rsidR="005B5DE4" w:rsidRPr="00FF16BD" w:rsidRDefault="005B5DE4" w:rsidP="005B5DE4">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Dans sa réplique, le Requérant soutient </w:t>
      </w:r>
      <w:r w:rsidR="00E72B20" w:rsidRPr="00FF16BD">
        <w:rPr>
          <w:rFonts w:ascii="Arial" w:hAnsi="Arial" w:cs="Arial"/>
          <w:sz w:val="24"/>
          <w:szCs w:val="24"/>
          <w:lang w:val="fr-FR"/>
        </w:rPr>
        <w:t xml:space="preserve">en effet </w:t>
      </w:r>
      <w:r w:rsidRPr="00FF16BD">
        <w:rPr>
          <w:rFonts w:ascii="Arial" w:hAnsi="Arial" w:cs="Arial"/>
          <w:sz w:val="24"/>
          <w:szCs w:val="24"/>
          <w:lang w:val="fr-FR"/>
        </w:rPr>
        <w:t xml:space="preserve">que la présente Requête « n’est pas totalement identique à celle soumise à la Cour de justice de la CEDEAO » en ce que devant ladite Cour il « n’avait pas évoqué la situation du dessaisissement de la Cour d’appel de Daloa comme un cas de violation des droits de l’homme ». </w:t>
      </w:r>
      <w:r w:rsidR="007E32CC" w:rsidRPr="00FF16BD">
        <w:rPr>
          <w:rFonts w:ascii="Arial" w:hAnsi="Arial" w:cs="Arial"/>
          <w:sz w:val="24"/>
          <w:szCs w:val="24"/>
          <w:lang w:val="fr-FR"/>
        </w:rPr>
        <w:t>Sur ce point, l</w:t>
      </w:r>
      <w:r w:rsidRPr="00FF16BD">
        <w:rPr>
          <w:rFonts w:ascii="Arial" w:hAnsi="Arial" w:cs="Arial"/>
          <w:sz w:val="24"/>
          <w:szCs w:val="24"/>
          <w:lang w:val="fr-FR"/>
        </w:rPr>
        <w:t>a Cour de céans observe qu</w:t>
      </w:r>
      <w:r w:rsidR="007E32CC" w:rsidRPr="00FF16BD">
        <w:rPr>
          <w:rFonts w:ascii="Arial" w:hAnsi="Arial" w:cs="Arial"/>
          <w:sz w:val="24"/>
          <w:szCs w:val="24"/>
          <w:lang w:val="fr-FR"/>
        </w:rPr>
        <w:t>e ladite prétention ne saurait être</w:t>
      </w:r>
      <w:r w:rsidRPr="00FF16BD">
        <w:rPr>
          <w:rFonts w:ascii="Arial" w:hAnsi="Arial" w:cs="Arial"/>
          <w:sz w:val="24"/>
          <w:szCs w:val="24"/>
          <w:lang w:val="fr-FR"/>
        </w:rPr>
        <w:t xml:space="preserve"> détach</w:t>
      </w:r>
      <w:r w:rsidR="007E32CC" w:rsidRPr="00FF16BD">
        <w:rPr>
          <w:rFonts w:ascii="Arial" w:hAnsi="Arial" w:cs="Arial"/>
          <w:sz w:val="24"/>
          <w:szCs w:val="24"/>
          <w:lang w:val="fr-FR"/>
        </w:rPr>
        <w:t>ée</w:t>
      </w:r>
      <w:r w:rsidRPr="00FF16BD">
        <w:rPr>
          <w:rFonts w:ascii="Arial" w:hAnsi="Arial" w:cs="Arial"/>
          <w:sz w:val="24"/>
          <w:szCs w:val="24"/>
          <w:lang w:val="fr-FR"/>
        </w:rPr>
        <w:t xml:space="preserve"> de celles </w:t>
      </w:r>
      <w:r w:rsidR="007E32CC" w:rsidRPr="00FF16BD">
        <w:rPr>
          <w:rFonts w:ascii="Arial" w:hAnsi="Arial" w:cs="Arial"/>
          <w:sz w:val="24"/>
          <w:szCs w:val="24"/>
          <w:lang w:val="fr-FR"/>
        </w:rPr>
        <w:t xml:space="preserve">qui ont </w:t>
      </w:r>
      <w:r w:rsidRPr="00FF16BD">
        <w:rPr>
          <w:rFonts w:ascii="Arial" w:hAnsi="Arial" w:cs="Arial"/>
          <w:sz w:val="24"/>
          <w:szCs w:val="24"/>
          <w:lang w:val="fr-FR"/>
        </w:rPr>
        <w:t>été examinées par la Cour de</w:t>
      </w:r>
      <w:r w:rsidR="007E32CC" w:rsidRPr="00FF16BD">
        <w:rPr>
          <w:rFonts w:ascii="Arial" w:hAnsi="Arial" w:cs="Arial"/>
          <w:sz w:val="24"/>
          <w:szCs w:val="24"/>
          <w:lang w:val="fr-FR"/>
        </w:rPr>
        <w:t xml:space="preserve"> justice de la CEDEAO</w:t>
      </w:r>
      <w:r w:rsidRPr="00FF16BD">
        <w:rPr>
          <w:rFonts w:ascii="Arial" w:hAnsi="Arial" w:cs="Arial"/>
          <w:sz w:val="24"/>
          <w:szCs w:val="24"/>
          <w:lang w:val="fr-FR"/>
        </w:rPr>
        <w:t xml:space="preserve"> </w:t>
      </w:r>
      <w:r w:rsidR="00551FA7" w:rsidRPr="00FF16BD">
        <w:rPr>
          <w:rFonts w:ascii="Arial" w:hAnsi="Arial" w:cs="Arial"/>
          <w:sz w:val="24"/>
          <w:szCs w:val="24"/>
          <w:lang w:val="fr-FR"/>
        </w:rPr>
        <w:t xml:space="preserve">de </w:t>
      </w:r>
      <w:r w:rsidRPr="00FF16BD">
        <w:rPr>
          <w:rFonts w:ascii="Arial" w:hAnsi="Arial" w:cs="Arial"/>
          <w:sz w:val="24"/>
          <w:szCs w:val="24"/>
          <w:lang w:val="fr-FR"/>
        </w:rPr>
        <w:t xml:space="preserve">sorte qu’il s’agit </w:t>
      </w:r>
      <w:r w:rsidR="007E32CC" w:rsidRPr="00FF16BD">
        <w:rPr>
          <w:rFonts w:ascii="Arial" w:hAnsi="Arial" w:cs="Arial"/>
          <w:sz w:val="24"/>
          <w:szCs w:val="24"/>
          <w:lang w:val="fr-FR"/>
        </w:rPr>
        <w:t>en</w:t>
      </w:r>
      <w:r w:rsidRPr="00FF16BD">
        <w:rPr>
          <w:rFonts w:ascii="Arial" w:hAnsi="Arial" w:cs="Arial"/>
          <w:sz w:val="24"/>
          <w:szCs w:val="24"/>
          <w:lang w:val="fr-FR"/>
        </w:rPr>
        <w:t xml:space="preserve"> réalité d’un </w:t>
      </w:r>
      <w:r w:rsidR="007E32CC" w:rsidRPr="00FF16BD">
        <w:rPr>
          <w:rFonts w:ascii="Arial" w:hAnsi="Arial" w:cs="Arial"/>
          <w:sz w:val="24"/>
          <w:szCs w:val="24"/>
          <w:lang w:val="fr-FR"/>
        </w:rPr>
        <w:t xml:space="preserve">ensemble </w:t>
      </w:r>
      <w:r w:rsidRPr="00FF16BD">
        <w:rPr>
          <w:rFonts w:ascii="Arial" w:hAnsi="Arial" w:cs="Arial"/>
          <w:sz w:val="24"/>
          <w:szCs w:val="24"/>
          <w:lang w:val="fr-FR"/>
        </w:rPr>
        <w:t>de prétentions. En référence à l</w:t>
      </w:r>
      <w:r w:rsidR="00551FA7" w:rsidRPr="00FF16BD">
        <w:rPr>
          <w:rFonts w:ascii="Arial" w:hAnsi="Arial" w:cs="Arial"/>
          <w:sz w:val="24"/>
          <w:szCs w:val="24"/>
          <w:lang w:val="fr-FR"/>
        </w:rPr>
        <w:t>’</w:t>
      </w:r>
      <w:r w:rsidRPr="00FF16BD">
        <w:rPr>
          <w:rFonts w:ascii="Arial" w:hAnsi="Arial" w:cs="Arial"/>
          <w:sz w:val="24"/>
          <w:szCs w:val="24"/>
          <w:lang w:val="fr-FR"/>
        </w:rPr>
        <w:t>a</w:t>
      </w:r>
      <w:r w:rsidR="00551FA7" w:rsidRPr="00FF16BD">
        <w:rPr>
          <w:rFonts w:ascii="Arial" w:hAnsi="Arial" w:cs="Arial"/>
          <w:sz w:val="24"/>
          <w:szCs w:val="24"/>
          <w:lang w:val="fr-FR"/>
        </w:rPr>
        <w:t>cception de la</w:t>
      </w:r>
      <w:r w:rsidRPr="00FF16BD">
        <w:rPr>
          <w:rFonts w:ascii="Arial" w:hAnsi="Arial" w:cs="Arial"/>
          <w:sz w:val="24"/>
          <w:szCs w:val="24"/>
          <w:lang w:val="fr-FR"/>
        </w:rPr>
        <w:t xml:space="preserve"> </w:t>
      </w:r>
      <w:r w:rsidR="00551FA7" w:rsidRPr="00FF16BD">
        <w:rPr>
          <w:rFonts w:ascii="Arial" w:hAnsi="Arial" w:cs="Arial"/>
          <w:sz w:val="24"/>
          <w:szCs w:val="24"/>
          <w:lang w:val="fr-FR"/>
        </w:rPr>
        <w:t>notion</w:t>
      </w:r>
      <w:r w:rsidRPr="00FF16BD">
        <w:rPr>
          <w:rFonts w:ascii="Arial" w:hAnsi="Arial" w:cs="Arial"/>
          <w:sz w:val="24"/>
          <w:szCs w:val="24"/>
          <w:lang w:val="fr-FR"/>
        </w:rPr>
        <w:t xml:space="preserve"> de « règlement » </w:t>
      </w:r>
      <w:r w:rsidR="00F330B6" w:rsidRPr="00FF16BD">
        <w:rPr>
          <w:rFonts w:ascii="Arial" w:hAnsi="Arial" w:cs="Arial"/>
          <w:sz w:val="24"/>
          <w:szCs w:val="24"/>
          <w:lang w:val="fr-FR"/>
        </w:rPr>
        <w:t xml:space="preserve">retenue </w:t>
      </w:r>
      <w:r w:rsidRPr="00FF16BD">
        <w:rPr>
          <w:rFonts w:ascii="Arial" w:hAnsi="Arial" w:cs="Arial"/>
          <w:sz w:val="24"/>
          <w:szCs w:val="24"/>
          <w:lang w:val="fr-FR"/>
        </w:rPr>
        <w:t xml:space="preserve">plus haut, l’identité des prétentions </w:t>
      </w:r>
      <w:r w:rsidR="00E674CC" w:rsidRPr="00FF16BD">
        <w:rPr>
          <w:rFonts w:ascii="Arial" w:hAnsi="Arial" w:cs="Arial"/>
          <w:sz w:val="24"/>
          <w:szCs w:val="24"/>
          <w:lang w:val="fr-FR"/>
        </w:rPr>
        <w:t xml:space="preserve">s’entend également de </w:t>
      </w:r>
      <w:r w:rsidRPr="00FF16BD">
        <w:rPr>
          <w:rFonts w:ascii="Arial" w:hAnsi="Arial" w:cs="Arial"/>
          <w:sz w:val="24"/>
          <w:szCs w:val="24"/>
          <w:lang w:val="fr-FR"/>
        </w:rPr>
        <w:t xml:space="preserve">leur caractère additionnel, alternatif ou découlant d’une prétention examinée dans une cause précédente. </w:t>
      </w:r>
    </w:p>
    <w:p w14:paraId="48013B1E" w14:textId="04D69924" w:rsidR="005B5DE4" w:rsidRPr="00FF16BD" w:rsidRDefault="005B5DE4" w:rsidP="005B5DE4">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lastRenderedPageBreak/>
        <w:t>En l’espèce, la Cour de céans note que</w:t>
      </w:r>
      <w:r w:rsidR="00E72B20" w:rsidRPr="00FF16BD">
        <w:rPr>
          <w:rFonts w:ascii="Arial" w:hAnsi="Arial" w:cs="Arial"/>
          <w:sz w:val="24"/>
          <w:szCs w:val="24"/>
          <w:lang w:val="fr-FR"/>
        </w:rPr>
        <w:t>, par</w:t>
      </w:r>
      <w:r w:rsidRPr="00FF16BD">
        <w:rPr>
          <w:rFonts w:ascii="Arial" w:hAnsi="Arial" w:cs="Arial"/>
          <w:sz w:val="24"/>
          <w:szCs w:val="24"/>
          <w:lang w:val="fr-FR"/>
        </w:rPr>
        <w:t xml:space="preserve"> les moyens </w:t>
      </w:r>
      <w:r w:rsidR="00E72B20" w:rsidRPr="00FF16BD">
        <w:rPr>
          <w:rFonts w:ascii="Arial" w:hAnsi="Arial" w:cs="Arial"/>
          <w:sz w:val="24"/>
          <w:szCs w:val="24"/>
          <w:lang w:val="fr-FR"/>
        </w:rPr>
        <w:t>qu’il invoque,</w:t>
      </w:r>
      <w:r w:rsidRPr="00FF16BD">
        <w:rPr>
          <w:rFonts w:ascii="Arial" w:hAnsi="Arial" w:cs="Arial"/>
          <w:sz w:val="24"/>
          <w:szCs w:val="24"/>
          <w:lang w:val="fr-FR"/>
        </w:rPr>
        <w:t xml:space="preserve"> le Requérant « convaincu de la flagrante partialité de la Première Chambre Civile de la Cour d’appel de Daloa » a saisi la Cour suprême d’une procédure de dessaisissement pour cause de suspicion légitime. </w:t>
      </w:r>
      <w:r w:rsidR="00494A89" w:rsidRPr="00FF16BD">
        <w:rPr>
          <w:rFonts w:ascii="Arial" w:hAnsi="Arial" w:cs="Arial"/>
          <w:sz w:val="24"/>
          <w:szCs w:val="24"/>
          <w:lang w:val="fr-FR"/>
        </w:rPr>
        <w:t>Selon le</w:t>
      </w:r>
      <w:r w:rsidRPr="00FF16BD">
        <w:rPr>
          <w:rFonts w:ascii="Arial" w:hAnsi="Arial" w:cs="Arial"/>
          <w:sz w:val="24"/>
          <w:szCs w:val="24"/>
          <w:lang w:val="fr-FR"/>
        </w:rPr>
        <w:t xml:space="preserve"> Requérant, la Cour suprême a fait droit </w:t>
      </w:r>
      <w:r w:rsidR="00E674CC" w:rsidRPr="00FF16BD">
        <w:rPr>
          <w:rFonts w:ascii="Arial" w:hAnsi="Arial" w:cs="Arial"/>
          <w:sz w:val="24"/>
          <w:szCs w:val="24"/>
          <w:lang w:val="fr-FR"/>
        </w:rPr>
        <w:t xml:space="preserve">à sa demande </w:t>
      </w:r>
      <w:r w:rsidRPr="00FF16BD">
        <w:rPr>
          <w:rFonts w:ascii="Arial" w:hAnsi="Arial" w:cs="Arial"/>
          <w:sz w:val="24"/>
          <w:szCs w:val="24"/>
          <w:lang w:val="fr-FR"/>
        </w:rPr>
        <w:t xml:space="preserve">en dessaisissant la Cour d’appel de Daloa au profit de la Cour d’appel d’Abidjan. </w:t>
      </w:r>
    </w:p>
    <w:p w14:paraId="7245CFAD" w14:textId="77777777" w:rsidR="005B5DE4" w:rsidRPr="00FF16BD" w:rsidRDefault="005B5DE4" w:rsidP="005B5DE4">
      <w:pPr>
        <w:pStyle w:val="ListParagraph"/>
        <w:spacing w:line="360" w:lineRule="auto"/>
        <w:jc w:val="both"/>
        <w:rPr>
          <w:rFonts w:ascii="Arial" w:hAnsi="Arial" w:cs="Arial"/>
          <w:sz w:val="24"/>
          <w:szCs w:val="24"/>
          <w:lang w:val="fr-FR"/>
        </w:rPr>
      </w:pPr>
    </w:p>
    <w:p w14:paraId="7B3D219F" w14:textId="2472296A" w:rsidR="005B5DE4" w:rsidRPr="00FF16BD" w:rsidRDefault="005B5DE4" w:rsidP="005B5DE4">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Dans ces circonstances, la Cour </w:t>
      </w:r>
      <w:r w:rsidR="00551FA7" w:rsidRPr="00FF16BD">
        <w:rPr>
          <w:rFonts w:ascii="Arial" w:hAnsi="Arial" w:cs="Arial"/>
          <w:sz w:val="24"/>
          <w:szCs w:val="24"/>
          <w:lang w:val="fr-FR"/>
        </w:rPr>
        <w:t xml:space="preserve">de céans </w:t>
      </w:r>
      <w:r w:rsidRPr="00FF16BD">
        <w:rPr>
          <w:rFonts w:ascii="Arial" w:hAnsi="Arial" w:cs="Arial"/>
          <w:sz w:val="24"/>
          <w:szCs w:val="24"/>
          <w:lang w:val="fr-FR"/>
        </w:rPr>
        <w:t xml:space="preserve">considère qu’en se prononçant sur l’allégation de violation liée à la procédure devant la Cour d’appel d’Abidjan, la Cour de justice de la CEDEAO a couvert le règlement de l’allégation de violation tirée de la partialité de la Cour d’appel de Daloa, les deux allégations ne formant qu’un </w:t>
      </w:r>
      <w:r w:rsidR="00E674CC" w:rsidRPr="00FF16BD">
        <w:rPr>
          <w:rFonts w:ascii="Arial" w:hAnsi="Arial" w:cs="Arial"/>
          <w:sz w:val="24"/>
          <w:szCs w:val="24"/>
          <w:lang w:val="fr-FR"/>
        </w:rPr>
        <w:t xml:space="preserve">ensemble </w:t>
      </w:r>
      <w:r w:rsidRPr="00FF16BD">
        <w:rPr>
          <w:rFonts w:ascii="Arial" w:hAnsi="Arial" w:cs="Arial"/>
          <w:sz w:val="24"/>
          <w:szCs w:val="24"/>
          <w:lang w:val="fr-FR"/>
        </w:rPr>
        <w:t xml:space="preserve">de prétentions. </w:t>
      </w:r>
      <w:r w:rsidR="00551FA7" w:rsidRPr="00FF16BD">
        <w:rPr>
          <w:rFonts w:ascii="Arial" w:hAnsi="Arial" w:cs="Arial"/>
          <w:sz w:val="24"/>
          <w:szCs w:val="24"/>
          <w:lang w:val="fr-FR"/>
        </w:rPr>
        <w:t>En conséquence, la Cour conclut à l’identité des demandes et au respect de la deuxième condition.</w:t>
      </w:r>
    </w:p>
    <w:p w14:paraId="733FC1AD" w14:textId="77777777" w:rsidR="00F82E0C" w:rsidRPr="00FF16BD" w:rsidRDefault="00F82E0C" w:rsidP="00E66468">
      <w:pPr>
        <w:pStyle w:val="ListParagraph"/>
        <w:spacing w:line="360" w:lineRule="auto"/>
        <w:jc w:val="both"/>
        <w:rPr>
          <w:rFonts w:ascii="Arial" w:hAnsi="Arial" w:cs="Arial"/>
          <w:sz w:val="24"/>
          <w:szCs w:val="24"/>
          <w:lang w:val="fr-FR"/>
        </w:rPr>
      </w:pPr>
    </w:p>
    <w:p w14:paraId="6FF5FFDB" w14:textId="3E4174BE" w:rsidR="003B05AB" w:rsidRPr="00FF16BD" w:rsidRDefault="00F82E0C" w:rsidP="003B05AB">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S’agissant enfin de la troisième</w:t>
      </w:r>
      <w:r w:rsidR="003B05AB" w:rsidRPr="00FF16BD">
        <w:rPr>
          <w:rFonts w:ascii="Arial" w:hAnsi="Arial" w:cs="Arial"/>
          <w:sz w:val="24"/>
          <w:szCs w:val="24"/>
          <w:lang w:val="fr-FR"/>
        </w:rPr>
        <w:t xml:space="preserve"> condition</w:t>
      </w:r>
      <w:r w:rsidRPr="00FF16BD">
        <w:rPr>
          <w:rFonts w:ascii="Arial" w:hAnsi="Arial" w:cs="Arial"/>
          <w:sz w:val="24"/>
          <w:szCs w:val="24"/>
          <w:lang w:val="fr-FR"/>
        </w:rPr>
        <w:t xml:space="preserve">, elle est également </w:t>
      </w:r>
      <w:r w:rsidR="003B05AB" w:rsidRPr="00FF16BD">
        <w:rPr>
          <w:rFonts w:ascii="Arial" w:hAnsi="Arial" w:cs="Arial"/>
          <w:sz w:val="24"/>
          <w:szCs w:val="24"/>
          <w:lang w:val="fr-FR"/>
        </w:rPr>
        <w:t xml:space="preserve">remplie </w:t>
      </w:r>
      <w:r w:rsidRPr="00FF16BD">
        <w:rPr>
          <w:rFonts w:ascii="Arial" w:hAnsi="Arial" w:cs="Arial"/>
          <w:sz w:val="24"/>
          <w:szCs w:val="24"/>
          <w:lang w:val="fr-FR"/>
        </w:rPr>
        <w:t>puisque</w:t>
      </w:r>
      <w:r w:rsidR="003B05AB" w:rsidRPr="00FF16BD">
        <w:rPr>
          <w:rFonts w:ascii="Arial" w:hAnsi="Arial" w:cs="Arial"/>
          <w:sz w:val="24"/>
          <w:szCs w:val="24"/>
          <w:lang w:val="fr-FR"/>
        </w:rPr>
        <w:t xml:space="preserve"> les </w:t>
      </w:r>
      <w:r w:rsidR="00494A89" w:rsidRPr="00FF16BD">
        <w:rPr>
          <w:rFonts w:ascii="Arial" w:hAnsi="Arial" w:cs="Arial"/>
          <w:sz w:val="24"/>
          <w:szCs w:val="24"/>
          <w:lang w:val="fr-FR"/>
        </w:rPr>
        <w:t>P</w:t>
      </w:r>
      <w:r w:rsidR="003B05AB" w:rsidRPr="00FF16BD">
        <w:rPr>
          <w:rFonts w:ascii="Arial" w:hAnsi="Arial" w:cs="Arial"/>
          <w:sz w:val="24"/>
          <w:szCs w:val="24"/>
          <w:lang w:val="fr-FR"/>
        </w:rPr>
        <w:t>arties s’accordent sur ce que la Cour de justice de la CEDEAO a rendu deux décisions sur le fond de l</w:t>
      </w:r>
      <w:r w:rsidRPr="00FF16BD">
        <w:rPr>
          <w:rFonts w:ascii="Arial" w:hAnsi="Arial" w:cs="Arial"/>
          <w:sz w:val="24"/>
          <w:szCs w:val="24"/>
          <w:lang w:val="fr-FR"/>
        </w:rPr>
        <w:t xml:space="preserve">a même </w:t>
      </w:r>
      <w:r w:rsidR="003B05AB" w:rsidRPr="00FF16BD">
        <w:rPr>
          <w:rFonts w:ascii="Arial" w:hAnsi="Arial" w:cs="Arial"/>
          <w:sz w:val="24"/>
          <w:szCs w:val="24"/>
          <w:lang w:val="fr-FR"/>
        </w:rPr>
        <w:t xml:space="preserve">affaire. Il s’agit </w:t>
      </w:r>
      <w:r w:rsidR="00795831" w:rsidRPr="00FF16BD">
        <w:rPr>
          <w:rFonts w:ascii="Arial" w:hAnsi="Arial" w:cs="Arial"/>
          <w:sz w:val="24"/>
          <w:szCs w:val="24"/>
          <w:lang w:val="fr-FR"/>
        </w:rPr>
        <w:t xml:space="preserve">en l’occurrence </w:t>
      </w:r>
      <w:r w:rsidR="00494A89" w:rsidRPr="00FF16BD">
        <w:rPr>
          <w:rFonts w:ascii="Arial" w:hAnsi="Arial" w:cs="Arial"/>
          <w:sz w:val="24"/>
          <w:szCs w:val="24"/>
          <w:lang w:val="fr-FR"/>
        </w:rPr>
        <w:t>de l’arrêt</w:t>
      </w:r>
      <w:r w:rsidR="003B05AB" w:rsidRPr="00FF16BD">
        <w:rPr>
          <w:rFonts w:ascii="Arial" w:hAnsi="Arial" w:cs="Arial"/>
          <w:sz w:val="24"/>
          <w:szCs w:val="24"/>
          <w:lang w:val="fr-FR"/>
        </w:rPr>
        <w:t xml:space="preserve"> No ECW/CCJ/JUD du 24 avril 2015 portant sur le fond et de l’arrêt No ECW/CCJ/RUL/08/16 du 17 mai 2016 portant sur une requête aux fins d’omission de statuer sur l</w:t>
      </w:r>
      <w:r w:rsidR="00494A89" w:rsidRPr="00FF16BD">
        <w:rPr>
          <w:rFonts w:ascii="Arial" w:hAnsi="Arial" w:cs="Arial"/>
          <w:sz w:val="24"/>
          <w:szCs w:val="24"/>
          <w:lang w:val="fr-FR"/>
        </w:rPr>
        <w:t xml:space="preserve">’arrêt </w:t>
      </w:r>
      <w:r w:rsidR="003B05AB" w:rsidRPr="00FF16BD">
        <w:rPr>
          <w:rFonts w:ascii="Arial" w:hAnsi="Arial" w:cs="Arial"/>
          <w:sz w:val="24"/>
          <w:szCs w:val="24"/>
          <w:lang w:val="fr-FR"/>
        </w:rPr>
        <w:t xml:space="preserve">précité. </w:t>
      </w:r>
    </w:p>
    <w:p w14:paraId="4B65780F" w14:textId="77777777" w:rsidR="00F82E0C" w:rsidRPr="00FF16BD" w:rsidRDefault="00F82E0C" w:rsidP="00E66468">
      <w:pPr>
        <w:pStyle w:val="ListParagraph"/>
        <w:spacing w:line="360" w:lineRule="auto"/>
        <w:jc w:val="both"/>
        <w:rPr>
          <w:rFonts w:ascii="Arial" w:hAnsi="Arial" w:cs="Arial"/>
          <w:sz w:val="24"/>
          <w:szCs w:val="24"/>
          <w:lang w:val="fr-FR"/>
        </w:rPr>
      </w:pPr>
    </w:p>
    <w:p w14:paraId="4134E9F2" w14:textId="2ED66017" w:rsidR="00E674CC" w:rsidRPr="00FF16BD" w:rsidRDefault="00F82E0C" w:rsidP="003B05AB">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De ce qui précède, il ressort que la présente Requête </w:t>
      </w:r>
      <w:r w:rsidRPr="00FF16BD">
        <w:rPr>
          <w:rFonts w:ascii="Arial" w:hAnsi="Arial" w:cs="Arial"/>
          <w:i/>
          <w:sz w:val="24"/>
          <w:szCs w:val="24"/>
          <w:lang w:val="fr-FR"/>
        </w:rPr>
        <w:t>a été réglée</w:t>
      </w:r>
      <w:r w:rsidRPr="00FF16BD">
        <w:rPr>
          <w:rFonts w:ascii="Arial" w:hAnsi="Arial" w:cs="Arial"/>
          <w:sz w:val="24"/>
          <w:szCs w:val="24"/>
          <w:lang w:val="fr-FR"/>
        </w:rPr>
        <w:t xml:space="preserve"> par la Cour de justice de la CEDEAO au sens de l’article 56(7) de la Charte</w:t>
      </w:r>
      <w:r w:rsidR="00577E5B" w:rsidRPr="00FF16BD">
        <w:rPr>
          <w:rFonts w:ascii="Arial" w:hAnsi="Arial" w:cs="Arial"/>
          <w:sz w:val="24"/>
          <w:szCs w:val="24"/>
          <w:lang w:val="fr-FR"/>
        </w:rPr>
        <w:t xml:space="preserve"> en ce qui concerne la première </w:t>
      </w:r>
      <w:r w:rsidR="00567AA9" w:rsidRPr="00FF16BD">
        <w:rPr>
          <w:rFonts w:ascii="Arial" w:hAnsi="Arial" w:cs="Arial"/>
          <w:sz w:val="24"/>
          <w:szCs w:val="24"/>
          <w:lang w:val="fr-FR"/>
        </w:rPr>
        <w:t>condition posée par ledit article</w:t>
      </w:r>
      <w:r w:rsidRPr="00FF16BD">
        <w:rPr>
          <w:rFonts w:ascii="Arial" w:hAnsi="Arial" w:cs="Arial"/>
          <w:sz w:val="24"/>
          <w:szCs w:val="24"/>
          <w:lang w:val="fr-FR"/>
        </w:rPr>
        <w:t xml:space="preserve">. </w:t>
      </w:r>
    </w:p>
    <w:p w14:paraId="5CFF58E4" w14:textId="77777777" w:rsidR="00E674CC" w:rsidRPr="00FF16BD" w:rsidRDefault="00E674CC" w:rsidP="00A41723">
      <w:pPr>
        <w:pStyle w:val="ListParagraph"/>
        <w:spacing w:line="360" w:lineRule="auto"/>
        <w:jc w:val="both"/>
        <w:rPr>
          <w:rFonts w:ascii="Arial" w:hAnsi="Arial" w:cs="Arial"/>
          <w:sz w:val="24"/>
          <w:szCs w:val="24"/>
          <w:lang w:val="fr-FR"/>
        </w:rPr>
      </w:pPr>
    </w:p>
    <w:p w14:paraId="0EBBA8E6" w14:textId="25FFAF93" w:rsidR="00F82E0C" w:rsidRPr="00FF16BD" w:rsidRDefault="00F82E0C" w:rsidP="003B05AB">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Il reste à déterminer si ce règlement est intervenu « conformément aux principes » évoqués à l’article 56(7). A cet égard, la Cour de céans considère que des trois instruments mention</w:t>
      </w:r>
      <w:r w:rsidR="00E72B20" w:rsidRPr="00FF16BD">
        <w:rPr>
          <w:rFonts w:ascii="Arial" w:hAnsi="Arial" w:cs="Arial"/>
          <w:sz w:val="24"/>
          <w:szCs w:val="24"/>
          <w:lang w:val="fr-FR"/>
        </w:rPr>
        <w:t>n</w:t>
      </w:r>
      <w:r w:rsidRPr="00FF16BD">
        <w:rPr>
          <w:rFonts w:ascii="Arial" w:hAnsi="Arial" w:cs="Arial"/>
          <w:sz w:val="24"/>
          <w:szCs w:val="24"/>
          <w:lang w:val="fr-FR"/>
        </w:rPr>
        <w:t>és audit article, la Charte est applicable en l’espèce.</w:t>
      </w:r>
    </w:p>
    <w:p w14:paraId="504B440A" w14:textId="77777777" w:rsidR="003B05AB" w:rsidRPr="00FF16BD" w:rsidRDefault="003B05AB" w:rsidP="00E66468">
      <w:pPr>
        <w:pStyle w:val="ListParagraph"/>
        <w:spacing w:line="360" w:lineRule="auto"/>
        <w:jc w:val="both"/>
        <w:rPr>
          <w:rFonts w:ascii="Arial" w:hAnsi="Arial" w:cs="Arial"/>
          <w:sz w:val="24"/>
          <w:szCs w:val="24"/>
          <w:lang w:val="fr-FR"/>
        </w:rPr>
      </w:pPr>
    </w:p>
    <w:p w14:paraId="727E0E38" w14:textId="1E82260E" w:rsidR="003B00AE" w:rsidRPr="00FF16BD" w:rsidRDefault="00F82E0C"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Au vu des éléments du dossier, la Cour de céans note que </w:t>
      </w:r>
      <w:r w:rsidR="003B00AE" w:rsidRPr="00FF16BD">
        <w:rPr>
          <w:rFonts w:ascii="Arial" w:hAnsi="Arial" w:cs="Arial"/>
          <w:sz w:val="24"/>
          <w:szCs w:val="24"/>
          <w:lang w:val="fr-FR"/>
        </w:rPr>
        <w:t xml:space="preserve">la Cour de justice de la CEDEAO </w:t>
      </w:r>
      <w:r w:rsidRPr="00FF16BD">
        <w:rPr>
          <w:rFonts w:ascii="Arial" w:hAnsi="Arial" w:cs="Arial"/>
          <w:sz w:val="24"/>
          <w:szCs w:val="24"/>
          <w:lang w:val="fr-FR"/>
        </w:rPr>
        <w:t>a examiné l’affaire sur la base des dispositions ci-après de la Charte</w:t>
      </w:r>
      <w:r w:rsidR="003B00AE" w:rsidRPr="00FF16BD">
        <w:rPr>
          <w:rFonts w:ascii="Arial" w:hAnsi="Arial" w:cs="Arial"/>
          <w:sz w:val="24"/>
          <w:szCs w:val="24"/>
          <w:lang w:val="fr-FR"/>
        </w:rPr>
        <w:t xml:space="preserve"> : </w:t>
      </w:r>
    </w:p>
    <w:p w14:paraId="03C698CA" w14:textId="7028701E" w:rsidR="00066252" w:rsidRPr="00FF16BD" w:rsidRDefault="0095271F" w:rsidP="00917627">
      <w:pPr>
        <w:pStyle w:val="ListParagraph"/>
        <w:numPr>
          <w:ilvl w:val="0"/>
          <w:numId w:val="26"/>
        </w:numPr>
        <w:spacing w:line="360" w:lineRule="auto"/>
        <w:jc w:val="both"/>
        <w:rPr>
          <w:rFonts w:ascii="Arial" w:hAnsi="Arial" w:cs="Arial"/>
          <w:sz w:val="24"/>
          <w:szCs w:val="24"/>
          <w:lang w:val="fr-FR"/>
        </w:rPr>
      </w:pPr>
      <w:r w:rsidRPr="00FF16BD">
        <w:rPr>
          <w:rFonts w:ascii="Arial" w:hAnsi="Arial" w:cs="Arial"/>
          <w:sz w:val="24"/>
          <w:szCs w:val="24"/>
          <w:lang w:val="fr-FR"/>
        </w:rPr>
        <w:lastRenderedPageBreak/>
        <w:t xml:space="preserve">Egalité de la justice, procès équitable et impartialité de la justice (article 7 de la Charte) : la Cour a défini les droits concernés, s’est prononcée sur leur violation à l’aune des faits rapportés par le Requérant et du comportement des juridictions nationales avant de déclarer </w:t>
      </w:r>
      <w:r w:rsidR="00066252" w:rsidRPr="00FF16BD">
        <w:rPr>
          <w:rFonts w:ascii="Arial" w:hAnsi="Arial" w:cs="Arial"/>
          <w:sz w:val="24"/>
          <w:szCs w:val="24"/>
          <w:lang w:val="fr-FR"/>
        </w:rPr>
        <w:t>la prétention mal fondée en concluant soit que le droit concerné n’avait pas été violé soit que la preuve n’en n’avait pas été faite</w:t>
      </w:r>
      <w:r w:rsidR="00567AA9" w:rsidRPr="00FF16BD">
        <w:rPr>
          <w:rStyle w:val="FootnoteReference"/>
          <w:rFonts w:ascii="Arial" w:hAnsi="Arial" w:cs="Arial"/>
          <w:sz w:val="24"/>
          <w:szCs w:val="24"/>
          <w:lang w:val="fr-FR"/>
        </w:rPr>
        <w:footnoteReference w:id="6"/>
      </w:r>
      <w:r w:rsidR="00066252" w:rsidRPr="00FF16BD">
        <w:rPr>
          <w:rFonts w:ascii="Arial" w:hAnsi="Arial" w:cs="Arial"/>
          <w:sz w:val="24"/>
          <w:szCs w:val="24"/>
          <w:lang w:val="fr-FR"/>
        </w:rPr>
        <w:t xml:space="preserve">. </w:t>
      </w:r>
    </w:p>
    <w:p w14:paraId="74E028FD" w14:textId="77777777" w:rsidR="002D5C7C" w:rsidRPr="00FF16BD" w:rsidRDefault="002D5C7C" w:rsidP="00917627">
      <w:pPr>
        <w:pStyle w:val="ListParagraph"/>
        <w:spacing w:line="360" w:lineRule="auto"/>
        <w:ind w:left="1080"/>
        <w:jc w:val="both"/>
        <w:rPr>
          <w:rFonts w:ascii="Arial" w:hAnsi="Arial" w:cs="Arial"/>
          <w:sz w:val="24"/>
          <w:szCs w:val="24"/>
          <w:lang w:val="fr-FR"/>
        </w:rPr>
      </w:pPr>
    </w:p>
    <w:p w14:paraId="5691672C" w14:textId="5D5ED17C" w:rsidR="002D5C7C" w:rsidRPr="00FF16BD" w:rsidRDefault="00066252" w:rsidP="00917627">
      <w:pPr>
        <w:pStyle w:val="ListParagraph"/>
        <w:numPr>
          <w:ilvl w:val="0"/>
          <w:numId w:val="26"/>
        </w:numPr>
        <w:spacing w:line="360" w:lineRule="auto"/>
        <w:jc w:val="both"/>
        <w:rPr>
          <w:rFonts w:ascii="Arial" w:hAnsi="Arial" w:cs="Arial"/>
          <w:sz w:val="24"/>
          <w:szCs w:val="24"/>
          <w:lang w:val="fr-FR"/>
        </w:rPr>
      </w:pPr>
      <w:r w:rsidRPr="00FF16BD">
        <w:rPr>
          <w:rFonts w:ascii="Arial" w:hAnsi="Arial" w:cs="Arial"/>
          <w:sz w:val="24"/>
          <w:szCs w:val="24"/>
          <w:lang w:val="fr-FR"/>
        </w:rPr>
        <w:t xml:space="preserve">Egalité devant la loi (article 3 de la Charte) : </w:t>
      </w:r>
      <w:r w:rsidR="0015583C" w:rsidRPr="00FF16BD">
        <w:rPr>
          <w:rFonts w:ascii="Arial" w:hAnsi="Arial" w:cs="Arial"/>
          <w:sz w:val="24"/>
          <w:szCs w:val="24"/>
          <w:lang w:val="fr-FR"/>
        </w:rPr>
        <w:t>après avoir énoncé une définition d</w:t>
      </w:r>
      <w:r w:rsidR="00D7342D" w:rsidRPr="00FF16BD">
        <w:rPr>
          <w:rFonts w:ascii="Arial" w:hAnsi="Arial" w:cs="Arial"/>
          <w:sz w:val="24"/>
          <w:szCs w:val="24"/>
          <w:lang w:val="fr-FR"/>
        </w:rPr>
        <w:t>u</w:t>
      </w:r>
      <w:r w:rsidR="0015583C" w:rsidRPr="00FF16BD">
        <w:rPr>
          <w:rFonts w:ascii="Arial" w:hAnsi="Arial" w:cs="Arial"/>
          <w:sz w:val="24"/>
          <w:szCs w:val="24"/>
          <w:lang w:val="fr-FR"/>
        </w:rPr>
        <w:t xml:space="preserve"> droit concerné, la Cour, en rappelant sa jurisprudence, a examiné les allégations de violation à l’aune des faits et du comportement des juridictions nationales</w:t>
      </w:r>
      <w:r w:rsidR="002D5C7C" w:rsidRPr="00FF16BD">
        <w:rPr>
          <w:rFonts w:ascii="Arial" w:hAnsi="Arial" w:cs="Arial"/>
          <w:sz w:val="24"/>
          <w:szCs w:val="24"/>
          <w:lang w:val="fr-FR"/>
        </w:rPr>
        <w:t xml:space="preserve">. Elle a, de même que </w:t>
      </w:r>
      <w:r w:rsidR="001F5A2E" w:rsidRPr="00FF16BD">
        <w:rPr>
          <w:rFonts w:ascii="Arial" w:hAnsi="Arial" w:cs="Arial"/>
          <w:sz w:val="24"/>
          <w:szCs w:val="24"/>
          <w:lang w:val="fr-FR"/>
        </w:rPr>
        <w:t>pour</w:t>
      </w:r>
      <w:r w:rsidR="002D5C7C" w:rsidRPr="00FF16BD">
        <w:rPr>
          <w:rFonts w:ascii="Arial" w:hAnsi="Arial" w:cs="Arial"/>
          <w:sz w:val="24"/>
          <w:szCs w:val="24"/>
          <w:lang w:val="fr-FR"/>
        </w:rPr>
        <w:t xml:space="preserve"> le chef précédent, déclaré la prétention mal fondée pour défaut de preuve</w:t>
      </w:r>
      <w:r w:rsidR="00567AA9" w:rsidRPr="00FF16BD">
        <w:rPr>
          <w:rStyle w:val="FootnoteReference"/>
          <w:rFonts w:ascii="Arial" w:hAnsi="Arial" w:cs="Arial"/>
          <w:sz w:val="24"/>
          <w:szCs w:val="24"/>
          <w:lang w:val="fr-FR"/>
        </w:rPr>
        <w:footnoteReference w:id="7"/>
      </w:r>
      <w:r w:rsidR="00D7342D" w:rsidRPr="00FF16BD">
        <w:rPr>
          <w:rFonts w:ascii="Arial" w:hAnsi="Arial" w:cs="Arial"/>
          <w:sz w:val="24"/>
          <w:szCs w:val="24"/>
          <w:lang w:val="fr-FR"/>
        </w:rPr>
        <w:t>.</w:t>
      </w:r>
      <w:r w:rsidR="002D5C7C" w:rsidRPr="00FF16BD">
        <w:rPr>
          <w:rFonts w:ascii="Arial" w:hAnsi="Arial" w:cs="Arial"/>
          <w:sz w:val="24"/>
          <w:szCs w:val="24"/>
          <w:lang w:val="fr-FR"/>
        </w:rPr>
        <w:t xml:space="preserve"> </w:t>
      </w:r>
    </w:p>
    <w:p w14:paraId="232FE72A" w14:textId="77777777" w:rsidR="002D5C7C" w:rsidRPr="00FF16BD" w:rsidRDefault="002D5C7C" w:rsidP="00917627">
      <w:pPr>
        <w:pStyle w:val="ListParagraph"/>
        <w:spacing w:line="360" w:lineRule="auto"/>
        <w:ind w:left="1080"/>
        <w:jc w:val="both"/>
        <w:rPr>
          <w:rFonts w:ascii="Arial" w:hAnsi="Arial" w:cs="Arial"/>
          <w:sz w:val="24"/>
          <w:szCs w:val="24"/>
          <w:lang w:val="fr-FR"/>
        </w:rPr>
      </w:pPr>
    </w:p>
    <w:p w14:paraId="7FC40A79" w14:textId="62029EBA" w:rsidR="002D5C7C" w:rsidRPr="00FF16BD" w:rsidRDefault="002D5C7C" w:rsidP="00917627">
      <w:pPr>
        <w:pStyle w:val="ListParagraph"/>
        <w:numPr>
          <w:ilvl w:val="0"/>
          <w:numId w:val="26"/>
        </w:numPr>
        <w:spacing w:line="360" w:lineRule="auto"/>
        <w:jc w:val="both"/>
        <w:rPr>
          <w:rFonts w:ascii="Arial" w:hAnsi="Arial" w:cs="Arial"/>
          <w:sz w:val="24"/>
          <w:szCs w:val="24"/>
          <w:lang w:val="fr-FR"/>
        </w:rPr>
      </w:pPr>
      <w:r w:rsidRPr="00FF16BD">
        <w:rPr>
          <w:rFonts w:ascii="Arial" w:hAnsi="Arial" w:cs="Arial"/>
          <w:sz w:val="24"/>
          <w:szCs w:val="24"/>
          <w:lang w:val="fr-FR"/>
        </w:rPr>
        <w:t>Recours effectif devant les juridictions nationales (article 7</w:t>
      </w:r>
      <w:r w:rsidR="00162274" w:rsidRPr="00FF16BD">
        <w:rPr>
          <w:rFonts w:ascii="Arial" w:hAnsi="Arial" w:cs="Arial"/>
          <w:sz w:val="24"/>
          <w:szCs w:val="24"/>
          <w:lang w:val="fr-FR"/>
        </w:rPr>
        <w:t>(</w:t>
      </w:r>
      <w:r w:rsidRPr="00FF16BD">
        <w:rPr>
          <w:rFonts w:ascii="Arial" w:hAnsi="Arial" w:cs="Arial"/>
          <w:sz w:val="24"/>
          <w:szCs w:val="24"/>
          <w:lang w:val="fr-FR"/>
        </w:rPr>
        <w:t>1</w:t>
      </w:r>
      <w:r w:rsidR="00162274" w:rsidRPr="00FF16BD">
        <w:rPr>
          <w:rFonts w:ascii="Arial" w:hAnsi="Arial" w:cs="Arial"/>
          <w:sz w:val="24"/>
          <w:szCs w:val="24"/>
          <w:lang w:val="fr-FR"/>
        </w:rPr>
        <w:t>)</w:t>
      </w:r>
      <w:r w:rsidRPr="00FF16BD">
        <w:rPr>
          <w:rFonts w:ascii="Arial" w:hAnsi="Arial" w:cs="Arial"/>
          <w:sz w:val="24"/>
          <w:szCs w:val="24"/>
          <w:lang w:val="fr-FR"/>
        </w:rPr>
        <w:t xml:space="preserve"> de la Charte) : par </w:t>
      </w:r>
      <w:r w:rsidR="00F82E0C" w:rsidRPr="00FF16BD">
        <w:rPr>
          <w:rFonts w:ascii="Arial" w:hAnsi="Arial" w:cs="Arial"/>
          <w:sz w:val="24"/>
          <w:szCs w:val="24"/>
          <w:lang w:val="fr-FR"/>
        </w:rPr>
        <w:t>un</w:t>
      </w:r>
      <w:r w:rsidRPr="00FF16BD">
        <w:rPr>
          <w:rFonts w:ascii="Arial" w:hAnsi="Arial" w:cs="Arial"/>
          <w:sz w:val="24"/>
          <w:szCs w:val="24"/>
          <w:lang w:val="fr-FR"/>
        </w:rPr>
        <w:t xml:space="preserve"> </w:t>
      </w:r>
      <w:r w:rsidR="00F82E0C" w:rsidRPr="00FF16BD">
        <w:rPr>
          <w:rFonts w:ascii="Arial" w:hAnsi="Arial" w:cs="Arial"/>
          <w:sz w:val="24"/>
          <w:szCs w:val="24"/>
          <w:lang w:val="fr-FR"/>
        </w:rPr>
        <w:t>raisonnement identique à celui adopté concernant</w:t>
      </w:r>
      <w:r w:rsidRPr="00FF16BD">
        <w:rPr>
          <w:rFonts w:ascii="Arial" w:hAnsi="Arial" w:cs="Arial"/>
          <w:sz w:val="24"/>
          <w:szCs w:val="24"/>
          <w:lang w:val="fr-FR"/>
        </w:rPr>
        <w:t xml:space="preserve"> les prétentions précédentes, la Cour a </w:t>
      </w:r>
      <w:r w:rsidR="00F82E0C" w:rsidRPr="00FF16BD">
        <w:rPr>
          <w:rFonts w:ascii="Arial" w:hAnsi="Arial" w:cs="Arial"/>
          <w:sz w:val="24"/>
          <w:szCs w:val="24"/>
          <w:lang w:val="fr-FR"/>
        </w:rPr>
        <w:t>tranché dans le même sens</w:t>
      </w:r>
      <w:r w:rsidR="00567AA9" w:rsidRPr="00FF16BD">
        <w:rPr>
          <w:rStyle w:val="FootnoteReference"/>
          <w:rFonts w:ascii="Arial" w:hAnsi="Arial" w:cs="Arial"/>
          <w:sz w:val="24"/>
          <w:szCs w:val="24"/>
          <w:lang w:val="fr-FR"/>
        </w:rPr>
        <w:footnoteReference w:id="8"/>
      </w:r>
      <w:r w:rsidR="00D7342D" w:rsidRPr="00FF16BD">
        <w:rPr>
          <w:rFonts w:ascii="Arial" w:hAnsi="Arial" w:cs="Arial"/>
          <w:sz w:val="24"/>
          <w:szCs w:val="24"/>
          <w:lang w:val="fr-FR"/>
        </w:rPr>
        <w:t>.</w:t>
      </w:r>
      <w:r w:rsidRPr="00FF16BD">
        <w:rPr>
          <w:rFonts w:ascii="Arial" w:hAnsi="Arial" w:cs="Arial"/>
          <w:sz w:val="24"/>
          <w:szCs w:val="24"/>
          <w:lang w:val="fr-FR"/>
        </w:rPr>
        <w:t xml:space="preserve">  </w:t>
      </w:r>
    </w:p>
    <w:p w14:paraId="1ED2CA75" w14:textId="77777777" w:rsidR="002D5C7C" w:rsidRPr="00FF16BD" w:rsidRDefault="002D5C7C" w:rsidP="00917627">
      <w:pPr>
        <w:pStyle w:val="ListParagraph"/>
        <w:spacing w:line="360" w:lineRule="auto"/>
        <w:ind w:left="1080"/>
        <w:jc w:val="both"/>
        <w:rPr>
          <w:rFonts w:ascii="Arial" w:hAnsi="Arial" w:cs="Arial"/>
          <w:sz w:val="24"/>
          <w:szCs w:val="24"/>
          <w:lang w:val="fr-FR"/>
        </w:rPr>
      </w:pPr>
    </w:p>
    <w:p w14:paraId="33995658" w14:textId="199022A2" w:rsidR="00A23A6C" w:rsidRPr="00FF16BD" w:rsidRDefault="00054DFF"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La Cour </w:t>
      </w:r>
      <w:r w:rsidR="00E8710D" w:rsidRPr="00FF16BD">
        <w:rPr>
          <w:rFonts w:ascii="Arial" w:hAnsi="Arial" w:cs="Arial"/>
          <w:sz w:val="24"/>
          <w:szCs w:val="24"/>
          <w:lang w:val="fr-FR"/>
        </w:rPr>
        <w:t>de céans</w:t>
      </w:r>
      <w:r w:rsidR="005B5DE4" w:rsidRPr="00FF16BD">
        <w:rPr>
          <w:rFonts w:ascii="Arial" w:hAnsi="Arial" w:cs="Arial"/>
          <w:sz w:val="24"/>
          <w:szCs w:val="24"/>
          <w:lang w:val="fr-FR"/>
        </w:rPr>
        <w:t xml:space="preserve">, après comparaison, note que la Cour de justice de la CEDEAO a examiné l’affaire sur la base des mêmes dispositions de la Charte que celles invoquées par le Requérant dans la présente Requête. </w:t>
      </w:r>
      <w:r w:rsidR="00551FA7" w:rsidRPr="00FF16BD">
        <w:rPr>
          <w:rFonts w:ascii="Arial" w:hAnsi="Arial" w:cs="Arial"/>
          <w:sz w:val="24"/>
          <w:szCs w:val="24"/>
          <w:lang w:val="fr-FR"/>
        </w:rPr>
        <w:t xml:space="preserve">En conséquence, l’affaire a été réglée </w:t>
      </w:r>
      <w:r w:rsidR="00551FA7" w:rsidRPr="00FF16BD">
        <w:rPr>
          <w:rFonts w:ascii="Arial" w:hAnsi="Arial" w:cs="Arial"/>
          <w:i/>
          <w:sz w:val="24"/>
          <w:szCs w:val="24"/>
          <w:lang w:val="fr-FR"/>
        </w:rPr>
        <w:t>conformément aux principes</w:t>
      </w:r>
      <w:r w:rsidR="00551FA7" w:rsidRPr="00FF16BD">
        <w:rPr>
          <w:rFonts w:ascii="Arial" w:hAnsi="Arial" w:cs="Arial"/>
          <w:sz w:val="24"/>
          <w:szCs w:val="24"/>
          <w:lang w:val="fr-FR"/>
        </w:rPr>
        <w:t xml:space="preserve"> de l’un des instruments évoqués à l’article 56(7) de la Charte</w:t>
      </w:r>
      <w:r w:rsidR="00795831" w:rsidRPr="00FF16BD">
        <w:rPr>
          <w:rFonts w:ascii="Arial" w:hAnsi="Arial" w:cs="Arial"/>
          <w:sz w:val="24"/>
          <w:szCs w:val="24"/>
          <w:lang w:val="fr-FR"/>
        </w:rPr>
        <w:t xml:space="preserve"> en ce qui concerne la deuxième condition posée par ledit article.</w:t>
      </w:r>
    </w:p>
    <w:p w14:paraId="0A74112B" w14:textId="77777777" w:rsidR="00156299" w:rsidRPr="00FF16BD" w:rsidRDefault="00156299" w:rsidP="00917627">
      <w:pPr>
        <w:pStyle w:val="ListParagraph"/>
        <w:spacing w:line="360" w:lineRule="auto"/>
        <w:jc w:val="both"/>
        <w:rPr>
          <w:rFonts w:ascii="Arial" w:hAnsi="Arial" w:cs="Arial"/>
          <w:sz w:val="24"/>
          <w:szCs w:val="24"/>
          <w:lang w:val="fr-FR"/>
        </w:rPr>
      </w:pPr>
    </w:p>
    <w:p w14:paraId="21C3504D" w14:textId="4BE4595F" w:rsidR="00EF6459" w:rsidRPr="00FF16BD" w:rsidRDefault="005B5DE4"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De ce qui précède</w:t>
      </w:r>
      <w:r w:rsidR="00EF6459" w:rsidRPr="00FF16BD">
        <w:rPr>
          <w:rFonts w:ascii="Arial" w:hAnsi="Arial" w:cs="Arial"/>
          <w:sz w:val="24"/>
          <w:szCs w:val="24"/>
          <w:lang w:val="fr-FR"/>
        </w:rPr>
        <w:t>, l</w:t>
      </w:r>
      <w:r w:rsidR="00625E1C" w:rsidRPr="00FF16BD">
        <w:rPr>
          <w:rFonts w:ascii="Arial" w:hAnsi="Arial" w:cs="Arial"/>
          <w:sz w:val="24"/>
          <w:szCs w:val="24"/>
          <w:lang w:val="fr-FR"/>
        </w:rPr>
        <w:t xml:space="preserve">a Cour conclut que la présente Requête </w:t>
      </w:r>
      <w:r w:rsidR="00795831" w:rsidRPr="00FF16BD">
        <w:rPr>
          <w:rFonts w:ascii="Arial" w:hAnsi="Arial" w:cs="Arial"/>
          <w:sz w:val="24"/>
          <w:szCs w:val="24"/>
          <w:lang w:val="fr-FR"/>
        </w:rPr>
        <w:t>ne remplit pas la condition posée à</w:t>
      </w:r>
      <w:r w:rsidRPr="00FF16BD">
        <w:rPr>
          <w:rFonts w:ascii="Arial" w:hAnsi="Arial" w:cs="Arial"/>
          <w:sz w:val="24"/>
          <w:szCs w:val="24"/>
          <w:lang w:val="fr-FR"/>
        </w:rPr>
        <w:t xml:space="preserve"> l’article 56(7) de la Charte</w:t>
      </w:r>
      <w:r w:rsidR="00156299" w:rsidRPr="00FF16BD">
        <w:rPr>
          <w:rFonts w:ascii="Arial" w:hAnsi="Arial" w:cs="Arial"/>
          <w:sz w:val="24"/>
          <w:szCs w:val="24"/>
          <w:lang w:val="fr-FR"/>
        </w:rPr>
        <w:t xml:space="preserve">. Elle </w:t>
      </w:r>
      <w:r w:rsidR="00EF6459" w:rsidRPr="00FF16BD">
        <w:rPr>
          <w:rFonts w:ascii="Arial" w:hAnsi="Arial" w:cs="Arial"/>
          <w:sz w:val="24"/>
          <w:szCs w:val="24"/>
          <w:lang w:val="fr-FR"/>
        </w:rPr>
        <w:t>re</w:t>
      </w:r>
      <w:r w:rsidR="00196DB5" w:rsidRPr="00FF16BD">
        <w:rPr>
          <w:rFonts w:ascii="Arial" w:hAnsi="Arial" w:cs="Arial"/>
          <w:sz w:val="24"/>
          <w:szCs w:val="24"/>
          <w:lang w:val="fr-FR"/>
        </w:rPr>
        <w:t>tient</w:t>
      </w:r>
      <w:r w:rsidR="00EF6459" w:rsidRPr="00FF16BD">
        <w:rPr>
          <w:rFonts w:ascii="Arial" w:hAnsi="Arial" w:cs="Arial"/>
          <w:sz w:val="24"/>
          <w:szCs w:val="24"/>
          <w:lang w:val="fr-FR"/>
        </w:rPr>
        <w:t xml:space="preserve"> donc </w:t>
      </w:r>
      <w:r w:rsidR="00156299" w:rsidRPr="00FF16BD">
        <w:rPr>
          <w:rFonts w:ascii="Arial" w:hAnsi="Arial" w:cs="Arial"/>
          <w:sz w:val="24"/>
          <w:szCs w:val="24"/>
          <w:lang w:val="fr-FR"/>
        </w:rPr>
        <w:t>l’exception d’irrecevabilité tirée du règlement antérieur du différend</w:t>
      </w:r>
      <w:r w:rsidR="00795831" w:rsidRPr="00FF16BD">
        <w:rPr>
          <w:rFonts w:ascii="Arial" w:hAnsi="Arial" w:cs="Arial"/>
          <w:sz w:val="24"/>
          <w:szCs w:val="24"/>
          <w:lang w:val="fr-FR"/>
        </w:rPr>
        <w:t xml:space="preserve"> par la Cour de justice de la CEDEAO</w:t>
      </w:r>
      <w:r w:rsidR="00EF6459" w:rsidRPr="00FF16BD">
        <w:rPr>
          <w:rFonts w:ascii="Arial" w:hAnsi="Arial" w:cs="Arial"/>
          <w:sz w:val="24"/>
          <w:szCs w:val="24"/>
          <w:lang w:val="fr-FR"/>
        </w:rPr>
        <w:t xml:space="preserve">. </w:t>
      </w:r>
    </w:p>
    <w:p w14:paraId="5CEC5DDB" w14:textId="77777777" w:rsidR="005B5DE4" w:rsidRPr="00FF16BD" w:rsidRDefault="005B5DE4" w:rsidP="00E66468">
      <w:pPr>
        <w:pStyle w:val="ListParagraph"/>
        <w:spacing w:line="360" w:lineRule="auto"/>
        <w:jc w:val="both"/>
        <w:rPr>
          <w:rFonts w:ascii="Arial" w:hAnsi="Arial" w:cs="Arial"/>
          <w:sz w:val="24"/>
          <w:szCs w:val="24"/>
          <w:lang w:val="fr-FR"/>
        </w:rPr>
      </w:pPr>
    </w:p>
    <w:p w14:paraId="72D98A20" w14:textId="75DD5EA8" w:rsidR="005B5DE4" w:rsidRPr="00FF16BD" w:rsidRDefault="005B5DE4" w:rsidP="005B5DE4">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Ayant conclu dans ce sens, la Cour considère qu’il n’y a pas lieu de se prononcer sur </w:t>
      </w:r>
      <w:r w:rsidR="00E717E8" w:rsidRPr="00FF16BD">
        <w:rPr>
          <w:rFonts w:ascii="Arial" w:hAnsi="Arial" w:cs="Arial"/>
          <w:sz w:val="24"/>
          <w:szCs w:val="24"/>
          <w:lang w:val="fr-FR"/>
        </w:rPr>
        <w:t xml:space="preserve">les autres conditions de recevabilité et sur </w:t>
      </w:r>
      <w:r w:rsidRPr="00FF16BD">
        <w:rPr>
          <w:rFonts w:ascii="Arial" w:hAnsi="Arial" w:cs="Arial"/>
          <w:sz w:val="24"/>
          <w:szCs w:val="24"/>
          <w:lang w:val="fr-FR"/>
        </w:rPr>
        <w:t xml:space="preserve">l’exception tirée du </w:t>
      </w:r>
      <w:r w:rsidRPr="00FF16BD">
        <w:rPr>
          <w:rFonts w:ascii="Arial" w:hAnsi="Arial" w:cs="Arial"/>
          <w:sz w:val="24"/>
          <w:szCs w:val="24"/>
          <w:lang w:val="fr-FR"/>
        </w:rPr>
        <w:lastRenderedPageBreak/>
        <w:t xml:space="preserve">règlement de l’affaire par le Centre international pour le règlement des différends relatifs aux investissements (CIRDI). </w:t>
      </w:r>
    </w:p>
    <w:p w14:paraId="1E94D939" w14:textId="77777777" w:rsidR="005B5DE4" w:rsidRPr="00FF16BD" w:rsidRDefault="005B5DE4" w:rsidP="00E66468">
      <w:pPr>
        <w:pStyle w:val="ListParagraph"/>
        <w:spacing w:line="360" w:lineRule="auto"/>
        <w:jc w:val="both"/>
        <w:rPr>
          <w:rFonts w:ascii="Arial" w:hAnsi="Arial" w:cs="Arial"/>
          <w:sz w:val="24"/>
          <w:szCs w:val="24"/>
          <w:lang w:val="fr-FR"/>
        </w:rPr>
      </w:pPr>
    </w:p>
    <w:p w14:paraId="472C7D30" w14:textId="200AAC0C" w:rsidR="00E717E8" w:rsidRPr="00FF16BD" w:rsidRDefault="00FE157E"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La Cour note qu’aux termes des dispositions de l’article 56 de la Charte, les conditions de recevabilité sont cumulatives</w:t>
      </w:r>
      <w:r w:rsidR="003C3461" w:rsidRPr="00FF16BD">
        <w:rPr>
          <w:rFonts w:ascii="Arial" w:hAnsi="Arial" w:cs="Arial"/>
          <w:sz w:val="24"/>
          <w:szCs w:val="24"/>
          <w:lang w:val="fr-FR"/>
        </w:rPr>
        <w:t xml:space="preserve"> de sorte </w:t>
      </w:r>
      <w:r w:rsidR="0058108F" w:rsidRPr="00FF16BD">
        <w:rPr>
          <w:rFonts w:ascii="Arial" w:hAnsi="Arial" w:cs="Arial"/>
          <w:sz w:val="24"/>
          <w:szCs w:val="24"/>
          <w:lang w:val="fr-FR"/>
        </w:rPr>
        <w:t xml:space="preserve">que lorsque l’une d’entre elles n’est pas remplie, </w:t>
      </w:r>
      <w:r w:rsidR="007B2A0E" w:rsidRPr="00FF16BD">
        <w:rPr>
          <w:rFonts w:ascii="Arial" w:hAnsi="Arial" w:cs="Arial"/>
          <w:sz w:val="24"/>
          <w:szCs w:val="24"/>
          <w:lang w:val="fr-FR"/>
        </w:rPr>
        <w:t>c’est l’entière Requête qui ne peut être reçue</w:t>
      </w:r>
      <w:r w:rsidRPr="00FF16BD">
        <w:rPr>
          <w:rFonts w:ascii="Arial" w:hAnsi="Arial" w:cs="Arial"/>
          <w:sz w:val="24"/>
          <w:szCs w:val="24"/>
          <w:lang w:val="fr-FR"/>
        </w:rPr>
        <w:t xml:space="preserve">. </w:t>
      </w:r>
      <w:r w:rsidR="00E717E8" w:rsidRPr="00FF16BD">
        <w:rPr>
          <w:rFonts w:ascii="Arial" w:hAnsi="Arial" w:cs="Arial"/>
          <w:sz w:val="24"/>
          <w:szCs w:val="24"/>
          <w:lang w:val="fr-FR"/>
        </w:rPr>
        <w:t xml:space="preserve">En l’espèce, la Requête ne remplit pas la condition posée à l’article 56(7) puisque l’affaire a fait l’objet d’un règlement antérieur par la Cour de justice de la CEDEAO. </w:t>
      </w:r>
    </w:p>
    <w:p w14:paraId="66C5CA25" w14:textId="77777777" w:rsidR="00E717E8" w:rsidRPr="00FF16BD" w:rsidRDefault="00E717E8" w:rsidP="00A41723">
      <w:pPr>
        <w:pStyle w:val="ListParagraph"/>
        <w:spacing w:line="360" w:lineRule="auto"/>
        <w:jc w:val="both"/>
        <w:rPr>
          <w:rFonts w:ascii="Arial" w:hAnsi="Arial" w:cs="Arial"/>
          <w:sz w:val="24"/>
          <w:szCs w:val="24"/>
          <w:lang w:val="fr-FR"/>
        </w:rPr>
      </w:pPr>
    </w:p>
    <w:p w14:paraId="4F5E3340" w14:textId="6AEE5645" w:rsidR="007B2A0E" w:rsidRPr="00FF16BD" w:rsidRDefault="00E717E8" w:rsidP="00917627">
      <w:pPr>
        <w:pStyle w:val="ListParagraph"/>
        <w:numPr>
          <w:ilvl w:val="0"/>
          <w:numId w:val="3"/>
        </w:numPr>
        <w:spacing w:line="360" w:lineRule="auto"/>
        <w:jc w:val="both"/>
        <w:rPr>
          <w:rFonts w:ascii="Arial" w:hAnsi="Arial" w:cs="Arial"/>
          <w:sz w:val="24"/>
          <w:szCs w:val="24"/>
          <w:lang w:val="fr-FR"/>
        </w:rPr>
      </w:pPr>
      <w:r w:rsidRPr="00FF16BD">
        <w:rPr>
          <w:rFonts w:ascii="Arial" w:hAnsi="Arial" w:cs="Arial"/>
          <w:sz w:val="24"/>
          <w:szCs w:val="24"/>
          <w:lang w:val="fr-FR"/>
        </w:rPr>
        <w:t xml:space="preserve">En conséquence, la Cour déclare la Requête </w:t>
      </w:r>
      <w:r w:rsidR="007B2A0E" w:rsidRPr="00FF16BD">
        <w:rPr>
          <w:rFonts w:ascii="Arial" w:hAnsi="Arial" w:cs="Arial"/>
          <w:sz w:val="24"/>
          <w:szCs w:val="24"/>
          <w:lang w:val="fr-FR"/>
        </w:rPr>
        <w:t xml:space="preserve">irrecevable. </w:t>
      </w:r>
    </w:p>
    <w:p w14:paraId="6BE10C64" w14:textId="77777777" w:rsidR="00C201E6" w:rsidRPr="00FF16BD" w:rsidRDefault="00C201E6" w:rsidP="00917627">
      <w:pPr>
        <w:pStyle w:val="ListParagraph"/>
        <w:tabs>
          <w:tab w:val="left" w:pos="720"/>
        </w:tabs>
        <w:spacing w:after="200" w:line="360" w:lineRule="auto"/>
        <w:ind w:left="540"/>
        <w:jc w:val="both"/>
        <w:rPr>
          <w:rFonts w:ascii="Arial" w:hAnsi="Arial" w:cs="Arial"/>
          <w:sz w:val="24"/>
          <w:szCs w:val="24"/>
          <w:lang w:val="fr-FR"/>
        </w:rPr>
      </w:pPr>
    </w:p>
    <w:p w14:paraId="69536A60" w14:textId="47FE5CB1" w:rsidR="00C201E6" w:rsidRPr="00FF16BD" w:rsidRDefault="00445D9D" w:rsidP="000439F1">
      <w:pPr>
        <w:pStyle w:val="Heading1"/>
        <w:numPr>
          <w:ilvl w:val="0"/>
          <w:numId w:val="35"/>
        </w:numPr>
        <w:ind w:left="567" w:hanging="567"/>
        <w:jc w:val="left"/>
        <w:rPr>
          <w:rFonts w:eastAsia="Calibri" w:cs="Arial"/>
          <w:sz w:val="24"/>
        </w:rPr>
      </w:pPr>
      <w:bookmarkStart w:id="12" w:name="_Toc509567812"/>
      <w:r w:rsidRPr="00FF16BD">
        <w:rPr>
          <w:rFonts w:eastAsia="Calibri" w:cs="Arial"/>
          <w:sz w:val="24"/>
        </w:rPr>
        <w:t>FRAIS DE PROCÉDURE</w:t>
      </w:r>
      <w:bookmarkEnd w:id="12"/>
      <w:r w:rsidR="00C201E6" w:rsidRPr="00FF16BD">
        <w:rPr>
          <w:rFonts w:eastAsia="Calibri" w:cs="Arial"/>
          <w:sz w:val="24"/>
        </w:rPr>
        <w:t xml:space="preserve"> </w:t>
      </w:r>
    </w:p>
    <w:p w14:paraId="4024D2DF" w14:textId="77777777" w:rsidR="00C201E6" w:rsidRPr="00FF16BD" w:rsidRDefault="00C201E6" w:rsidP="00917627">
      <w:pPr>
        <w:pStyle w:val="ListParagraph"/>
        <w:tabs>
          <w:tab w:val="left" w:pos="720"/>
        </w:tabs>
        <w:spacing w:after="200" w:line="360" w:lineRule="auto"/>
        <w:ind w:left="540"/>
        <w:jc w:val="both"/>
        <w:rPr>
          <w:rFonts w:ascii="Arial" w:hAnsi="Arial" w:cs="Arial"/>
          <w:sz w:val="24"/>
          <w:szCs w:val="24"/>
          <w:lang w:val="fr-FR"/>
        </w:rPr>
      </w:pPr>
    </w:p>
    <w:p w14:paraId="5FBA815D" w14:textId="77777777" w:rsidR="00C201E6" w:rsidRPr="00FF16BD" w:rsidRDefault="00C201E6" w:rsidP="00917627">
      <w:pPr>
        <w:pStyle w:val="ListParagraph"/>
        <w:numPr>
          <w:ilvl w:val="0"/>
          <w:numId w:val="3"/>
        </w:numPr>
        <w:spacing w:line="360" w:lineRule="auto"/>
        <w:jc w:val="both"/>
        <w:rPr>
          <w:rFonts w:ascii="Arial" w:hAnsi="Arial" w:cs="Arial"/>
          <w:sz w:val="24"/>
          <w:szCs w:val="24"/>
          <w:lang w:val="fr-FR"/>
        </w:rPr>
      </w:pPr>
      <w:r w:rsidRPr="00FF16BD">
        <w:rPr>
          <w:rFonts w:ascii="Arial" w:eastAsia="Calibri" w:hAnsi="Arial" w:cs="Arial"/>
          <w:sz w:val="24"/>
          <w:szCs w:val="24"/>
          <w:lang w:val="fr-FR"/>
        </w:rPr>
        <w:t>Aux term</w:t>
      </w:r>
      <w:r w:rsidR="009C0AB9" w:rsidRPr="00FF16BD">
        <w:rPr>
          <w:rFonts w:ascii="Arial" w:eastAsia="Calibri" w:hAnsi="Arial" w:cs="Arial"/>
          <w:sz w:val="24"/>
          <w:szCs w:val="24"/>
          <w:lang w:val="fr-FR"/>
        </w:rPr>
        <w:t>es de l’article 30 du Règlement</w:t>
      </w:r>
      <w:r w:rsidR="00DF5063" w:rsidRPr="00FF16BD">
        <w:rPr>
          <w:rFonts w:ascii="Arial" w:eastAsia="Calibri" w:hAnsi="Arial" w:cs="Arial"/>
          <w:sz w:val="24"/>
          <w:szCs w:val="24"/>
          <w:lang w:val="fr-FR"/>
        </w:rPr>
        <w:t xml:space="preserve"> de la Cour,</w:t>
      </w:r>
      <w:r w:rsidRPr="00FF16BD">
        <w:rPr>
          <w:rFonts w:ascii="Arial" w:eastAsia="Calibri" w:hAnsi="Arial" w:cs="Arial"/>
          <w:sz w:val="24"/>
          <w:szCs w:val="24"/>
          <w:lang w:val="fr-FR"/>
        </w:rPr>
        <w:t xml:space="preserve"> </w:t>
      </w:r>
      <w:r w:rsidRPr="00FF16BD">
        <w:rPr>
          <w:rFonts w:ascii="Arial" w:eastAsia="Calibri" w:hAnsi="Arial" w:cs="Arial"/>
          <w:lang w:val="fr-FR"/>
        </w:rPr>
        <w:t>« A moins que la Cour n’en décide autrement, chaque partie supporte ses frais de procédure »</w:t>
      </w:r>
      <w:r w:rsidRPr="00FF16BD">
        <w:rPr>
          <w:rFonts w:ascii="Arial" w:eastAsia="Calibri" w:hAnsi="Arial" w:cs="Arial"/>
          <w:sz w:val="24"/>
          <w:szCs w:val="24"/>
          <w:lang w:val="fr-FR"/>
        </w:rPr>
        <w:t>.</w:t>
      </w:r>
    </w:p>
    <w:p w14:paraId="1101AA26" w14:textId="77777777" w:rsidR="00C201E6" w:rsidRPr="00FF16BD" w:rsidRDefault="00C201E6" w:rsidP="00917627">
      <w:pPr>
        <w:pStyle w:val="ListParagraph"/>
        <w:tabs>
          <w:tab w:val="left" w:pos="720"/>
        </w:tabs>
        <w:spacing w:after="200" w:line="360" w:lineRule="auto"/>
        <w:ind w:left="540"/>
        <w:jc w:val="both"/>
        <w:rPr>
          <w:rFonts w:ascii="Arial" w:hAnsi="Arial" w:cs="Arial"/>
          <w:sz w:val="24"/>
          <w:szCs w:val="24"/>
          <w:lang w:val="fr-FR"/>
        </w:rPr>
      </w:pPr>
    </w:p>
    <w:p w14:paraId="07E933B9" w14:textId="702E03AF" w:rsidR="00BC6641" w:rsidRPr="00FF16BD" w:rsidRDefault="00DF5063" w:rsidP="00917627">
      <w:pPr>
        <w:pStyle w:val="ListParagraph"/>
        <w:numPr>
          <w:ilvl w:val="0"/>
          <w:numId w:val="3"/>
        </w:numPr>
        <w:spacing w:line="360" w:lineRule="auto"/>
        <w:jc w:val="both"/>
        <w:rPr>
          <w:rFonts w:ascii="Arial" w:hAnsi="Arial" w:cs="Arial"/>
          <w:sz w:val="24"/>
          <w:szCs w:val="24"/>
          <w:lang w:val="fr-FR"/>
        </w:rPr>
      </w:pPr>
      <w:r w:rsidRPr="00FF16BD">
        <w:rPr>
          <w:rFonts w:ascii="Arial" w:eastAsia="Calibri" w:hAnsi="Arial" w:cs="Arial"/>
          <w:sz w:val="24"/>
          <w:szCs w:val="24"/>
          <w:lang w:val="fr-FR"/>
        </w:rPr>
        <w:t xml:space="preserve">La Cour </w:t>
      </w:r>
      <w:r w:rsidR="00445D9D" w:rsidRPr="00FF16BD">
        <w:rPr>
          <w:rFonts w:ascii="Arial" w:eastAsia="Calibri" w:hAnsi="Arial" w:cs="Arial"/>
          <w:sz w:val="24"/>
          <w:szCs w:val="24"/>
          <w:lang w:val="fr-FR"/>
        </w:rPr>
        <w:t xml:space="preserve">note que dans la présente procédure chacune des Parties demande que l’autre soit condamnée aux dépens. </w:t>
      </w:r>
      <w:r w:rsidRPr="00FF16BD">
        <w:rPr>
          <w:rFonts w:ascii="Arial" w:eastAsia="Calibri" w:hAnsi="Arial" w:cs="Arial"/>
          <w:sz w:val="24"/>
          <w:szCs w:val="24"/>
          <w:lang w:val="fr-FR"/>
        </w:rPr>
        <w:t xml:space="preserve"> </w:t>
      </w:r>
      <w:r w:rsidR="005B5DE4" w:rsidRPr="00FF16BD">
        <w:rPr>
          <w:rFonts w:ascii="Arial" w:eastAsia="Calibri" w:hAnsi="Arial" w:cs="Arial"/>
          <w:sz w:val="24"/>
          <w:szCs w:val="24"/>
          <w:lang w:val="fr-FR"/>
        </w:rPr>
        <w:t xml:space="preserve">Dans </w:t>
      </w:r>
      <w:r w:rsidR="00E717E8" w:rsidRPr="00FF16BD">
        <w:rPr>
          <w:rFonts w:ascii="Arial" w:eastAsia="Calibri" w:hAnsi="Arial" w:cs="Arial"/>
          <w:sz w:val="24"/>
          <w:szCs w:val="24"/>
          <w:lang w:val="fr-FR"/>
        </w:rPr>
        <w:t>c</w:t>
      </w:r>
      <w:r w:rsidR="005B5DE4" w:rsidRPr="00FF16BD">
        <w:rPr>
          <w:rFonts w:ascii="Arial" w:eastAsia="Calibri" w:hAnsi="Arial" w:cs="Arial"/>
          <w:sz w:val="24"/>
          <w:szCs w:val="24"/>
          <w:lang w:val="fr-FR"/>
        </w:rPr>
        <w:t>es circonstances, la Cour estime que chaque partie doit supporter ses frais de procédure</w:t>
      </w:r>
      <w:r w:rsidR="00BC6641" w:rsidRPr="00FF16BD">
        <w:rPr>
          <w:rFonts w:ascii="Arial" w:eastAsia="Calibri" w:hAnsi="Arial" w:cs="Arial"/>
          <w:sz w:val="24"/>
          <w:szCs w:val="24"/>
          <w:lang w:val="fr-FR"/>
        </w:rPr>
        <w:t xml:space="preserve">. </w:t>
      </w:r>
    </w:p>
    <w:p w14:paraId="1871F15D" w14:textId="77777777" w:rsidR="00BC6641" w:rsidRPr="00FF16BD" w:rsidRDefault="00BC6641" w:rsidP="00917627">
      <w:pPr>
        <w:pStyle w:val="ListParagraph"/>
        <w:tabs>
          <w:tab w:val="left" w:pos="720"/>
        </w:tabs>
        <w:spacing w:after="200" w:line="360" w:lineRule="auto"/>
        <w:ind w:left="540"/>
        <w:jc w:val="both"/>
        <w:rPr>
          <w:rFonts w:ascii="Arial" w:eastAsia="Calibri" w:hAnsi="Arial" w:cs="Arial"/>
          <w:sz w:val="24"/>
          <w:szCs w:val="24"/>
          <w:lang w:val="fr-FR"/>
        </w:rPr>
      </w:pPr>
    </w:p>
    <w:p w14:paraId="63217DE3" w14:textId="07A1F4AB" w:rsidR="00B24F64" w:rsidRPr="00FF16BD" w:rsidRDefault="00B24F64" w:rsidP="000439F1">
      <w:pPr>
        <w:pStyle w:val="Heading1"/>
        <w:numPr>
          <w:ilvl w:val="0"/>
          <w:numId w:val="35"/>
        </w:numPr>
        <w:ind w:left="567" w:hanging="567"/>
        <w:jc w:val="left"/>
        <w:rPr>
          <w:rFonts w:eastAsia="Calibri"/>
          <w:sz w:val="24"/>
        </w:rPr>
      </w:pPr>
      <w:bookmarkStart w:id="13" w:name="_Toc509567813"/>
      <w:r w:rsidRPr="00FF16BD">
        <w:rPr>
          <w:rFonts w:eastAsia="Calibri"/>
          <w:sz w:val="24"/>
        </w:rPr>
        <w:t>DISP</w:t>
      </w:r>
      <w:bookmarkStart w:id="14" w:name="_GoBack"/>
      <w:bookmarkEnd w:id="14"/>
      <w:r w:rsidRPr="00FF16BD">
        <w:rPr>
          <w:rFonts w:eastAsia="Calibri"/>
          <w:sz w:val="24"/>
        </w:rPr>
        <w:t>OSITIF</w:t>
      </w:r>
      <w:bookmarkEnd w:id="13"/>
    </w:p>
    <w:p w14:paraId="695A014F" w14:textId="77777777" w:rsidR="00B24F64" w:rsidRPr="00FF16BD" w:rsidRDefault="00B24F64" w:rsidP="00917627">
      <w:pPr>
        <w:pStyle w:val="ListParagraph"/>
        <w:tabs>
          <w:tab w:val="left" w:pos="720"/>
        </w:tabs>
        <w:spacing w:after="200" w:line="360" w:lineRule="auto"/>
        <w:ind w:left="540"/>
        <w:jc w:val="both"/>
        <w:rPr>
          <w:rFonts w:ascii="Arial" w:eastAsia="Calibri" w:hAnsi="Arial" w:cs="Arial"/>
          <w:sz w:val="24"/>
          <w:szCs w:val="24"/>
          <w:lang w:val="fr-FR"/>
        </w:rPr>
      </w:pPr>
    </w:p>
    <w:p w14:paraId="7DC6FFBB" w14:textId="77777777" w:rsidR="00AB44F1" w:rsidRPr="00A0421C" w:rsidRDefault="00AB44F1" w:rsidP="00917627">
      <w:pPr>
        <w:pStyle w:val="ListParagraph"/>
        <w:numPr>
          <w:ilvl w:val="0"/>
          <w:numId w:val="3"/>
        </w:numPr>
        <w:spacing w:line="360" w:lineRule="auto"/>
        <w:jc w:val="both"/>
        <w:rPr>
          <w:rFonts w:ascii="Arial" w:hAnsi="Arial" w:cs="Arial"/>
          <w:sz w:val="24"/>
          <w:szCs w:val="24"/>
          <w:lang w:val="fr-FR"/>
        </w:rPr>
      </w:pPr>
      <w:r w:rsidRPr="00FF16BD">
        <w:rPr>
          <w:rFonts w:ascii="Arial" w:eastAsia="Calibri" w:hAnsi="Arial" w:cs="Arial"/>
          <w:sz w:val="24"/>
          <w:szCs w:val="24"/>
          <w:lang w:val="fr-FR"/>
        </w:rPr>
        <w:t>Par ces motifs,</w:t>
      </w:r>
    </w:p>
    <w:p w14:paraId="41C98AF8" w14:textId="77777777" w:rsidR="00A0421C" w:rsidRPr="00FF16BD" w:rsidRDefault="00A0421C" w:rsidP="00A0421C">
      <w:pPr>
        <w:pStyle w:val="ListParagraph"/>
        <w:spacing w:line="360" w:lineRule="auto"/>
        <w:jc w:val="both"/>
        <w:rPr>
          <w:rFonts w:ascii="Arial" w:hAnsi="Arial" w:cs="Arial"/>
          <w:sz w:val="24"/>
          <w:szCs w:val="24"/>
          <w:lang w:val="fr-FR"/>
        </w:rPr>
      </w:pPr>
    </w:p>
    <w:p w14:paraId="564D9521" w14:textId="77777777" w:rsidR="00AB44F1" w:rsidRPr="00FF16BD" w:rsidRDefault="00AB44F1" w:rsidP="00861D66">
      <w:pPr>
        <w:spacing w:after="120" w:line="360" w:lineRule="auto"/>
        <w:rPr>
          <w:rFonts w:ascii="Arial" w:hAnsi="Arial" w:cs="Arial"/>
          <w:sz w:val="24"/>
          <w:lang w:val="fr-FR"/>
        </w:rPr>
      </w:pPr>
      <w:r w:rsidRPr="00FF16BD">
        <w:rPr>
          <w:rFonts w:ascii="Arial" w:hAnsi="Arial" w:cs="Arial"/>
          <w:sz w:val="24"/>
          <w:lang w:val="fr-FR"/>
        </w:rPr>
        <w:t xml:space="preserve">LA COUR, </w:t>
      </w:r>
    </w:p>
    <w:p w14:paraId="795EF7EA" w14:textId="77777777" w:rsidR="00AB44F1" w:rsidRPr="00FF16BD" w:rsidRDefault="00AB44F1" w:rsidP="00861D66">
      <w:pPr>
        <w:spacing w:after="120" w:line="360" w:lineRule="auto"/>
        <w:rPr>
          <w:rFonts w:ascii="Arial" w:hAnsi="Arial" w:cs="Arial"/>
          <w:i/>
          <w:sz w:val="24"/>
          <w:lang w:val="fr-FR"/>
        </w:rPr>
      </w:pPr>
      <w:r w:rsidRPr="00FF16BD">
        <w:rPr>
          <w:rFonts w:ascii="Arial" w:hAnsi="Arial" w:cs="Arial"/>
          <w:i/>
          <w:sz w:val="24"/>
          <w:lang w:val="fr-FR"/>
        </w:rPr>
        <w:t xml:space="preserve">À l’unanimité, </w:t>
      </w:r>
    </w:p>
    <w:p w14:paraId="7821219F" w14:textId="50CA77A3" w:rsidR="007C2B1E" w:rsidRPr="00FF16BD" w:rsidRDefault="007C2B1E" w:rsidP="00861D66">
      <w:pPr>
        <w:spacing w:after="120" w:line="360" w:lineRule="auto"/>
        <w:rPr>
          <w:rFonts w:ascii="Arial" w:hAnsi="Arial" w:cs="Arial"/>
          <w:b/>
          <w:bCs/>
          <w:i/>
          <w:sz w:val="24"/>
          <w:lang w:val="fr-FR"/>
        </w:rPr>
      </w:pPr>
      <w:r w:rsidRPr="00FF16BD">
        <w:rPr>
          <w:rFonts w:ascii="Arial" w:hAnsi="Arial" w:cs="Arial"/>
          <w:b/>
          <w:i/>
          <w:sz w:val="24"/>
          <w:lang w:val="fr-FR"/>
        </w:rPr>
        <w:t xml:space="preserve">Sur la compétence </w:t>
      </w:r>
    </w:p>
    <w:p w14:paraId="4B59BF8C" w14:textId="288982B3" w:rsidR="00AB44F1" w:rsidRPr="00FF16BD" w:rsidRDefault="00AB44F1" w:rsidP="00917627">
      <w:pPr>
        <w:pStyle w:val="ListParagraph"/>
        <w:numPr>
          <w:ilvl w:val="0"/>
          <w:numId w:val="22"/>
        </w:numPr>
        <w:spacing w:after="200" w:line="360" w:lineRule="auto"/>
        <w:jc w:val="both"/>
        <w:rPr>
          <w:rFonts w:ascii="Arial" w:eastAsia="Calibri" w:hAnsi="Arial" w:cs="Arial"/>
          <w:bCs/>
          <w:sz w:val="24"/>
          <w:szCs w:val="24"/>
          <w:lang w:val="fr-FR"/>
        </w:rPr>
      </w:pPr>
      <w:r w:rsidRPr="00FF16BD">
        <w:rPr>
          <w:rFonts w:ascii="Arial" w:eastAsia="Calibri" w:hAnsi="Arial" w:cs="Arial"/>
          <w:b/>
          <w:i/>
          <w:sz w:val="24"/>
          <w:szCs w:val="24"/>
          <w:lang w:val="fr-FR"/>
        </w:rPr>
        <w:t>Déclare</w:t>
      </w:r>
      <w:r w:rsidRPr="00FF16BD">
        <w:rPr>
          <w:rFonts w:ascii="Arial" w:eastAsia="Calibri" w:hAnsi="Arial" w:cs="Arial"/>
          <w:i/>
          <w:sz w:val="24"/>
          <w:szCs w:val="24"/>
          <w:lang w:val="fr-FR"/>
        </w:rPr>
        <w:t xml:space="preserve"> </w:t>
      </w:r>
      <w:r w:rsidRPr="00FF16BD">
        <w:rPr>
          <w:rFonts w:ascii="Arial" w:eastAsia="Calibri" w:hAnsi="Arial" w:cs="Arial"/>
          <w:sz w:val="24"/>
          <w:szCs w:val="24"/>
          <w:lang w:val="fr-FR"/>
        </w:rPr>
        <w:t>qu’elle est compétente</w:t>
      </w:r>
      <w:r w:rsidR="006C009D" w:rsidRPr="00FF16BD">
        <w:rPr>
          <w:rFonts w:ascii="Arial" w:eastAsia="Calibri" w:hAnsi="Arial" w:cs="Arial"/>
          <w:sz w:val="24"/>
          <w:szCs w:val="24"/>
          <w:lang w:val="fr-FR"/>
        </w:rPr>
        <w:t xml:space="preserve"> </w:t>
      </w:r>
      <w:r w:rsidRPr="00FF16BD">
        <w:rPr>
          <w:rFonts w:ascii="Arial" w:eastAsia="Calibri" w:hAnsi="Arial" w:cs="Arial"/>
          <w:sz w:val="24"/>
          <w:szCs w:val="24"/>
          <w:lang w:val="fr-FR"/>
        </w:rPr>
        <w:t>;</w:t>
      </w:r>
    </w:p>
    <w:p w14:paraId="025C9264" w14:textId="32C574F8" w:rsidR="007C2B1E" w:rsidRPr="00FF16BD" w:rsidRDefault="007C2B1E" w:rsidP="00F33A82">
      <w:pPr>
        <w:spacing w:after="200" w:line="360" w:lineRule="auto"/>
        <w:jc w:val="both"/>
        <w:rPr>
          <w:rFonts w:ascii="Arial" w:eastAsia="Calibri" w:hAnsi="Arial" w:cs="Arial"/>
          <w:b/>
          <w:bCs/>
          <w:i/>
          <w:sz w:val="24"/>
          <w:szCs w:val="24"/>
          <w:lang w:val="fr-FR"/>
        </w:rPr>
      </w:pPr>
      <w:r w:rsidRPr="00FF16BD">
        <w:rPr>
          <w:rFonts w:ascii="Arial" w:eastAsia="Calibri" w:hAnsi="Arial" w:cs="Arial"/>
          <w:b/>
          <w:bCs/>
          <w:i/>
          <w:sz w:val="24"/>
          <w:szCs w:val="24"/>
          <w:lang w:val="fr-FR"/>
        </w:rPr>
        <w:t xml:space="preserve">Sur la recevabilité </w:t>
      </w:r>
    </w:p>
    <w:p w14:paraId="3F06250A" w14:textId="11FFE8EC" w:rsidR="00162274" w:rsidRPr="00FF16BD" w:rsidRDefault="005B5DE4" w:rsidP="0049758E">
      <w:pPr>
        <w:pStyle w:val="ListParagraph"/>
        <w:numPr>
          <w:ilvl w:val="0"/>
          <w:numId w:val="22"/>
        </w:numPr>
        <w:spacing w:after="200" w:line="360" w:lineRule="auto"/>
        <w:jc w:val="both"/>
        <w:rPr>
          <w:rFonts w:ascii="Arial" w:eastAsia="Calibri" w:hAnsi="Arial" w:cs="Arial"/>
          <w:bCs/>
          <w:sz w:val="24"/>
          <w:szCs w:val="24"/>
          <w:lang w:val="fr-FR"/>
        </w:rPr>
      </w:pPr>
      <w:r w:rsidRPr="00FF16BD">
        <w:rPr>
          <w:rFonts w:ascii="Arial" w:eastAsia="Calibri" w:hAnsi="Arial" w:cs="Arial"/>
          <w:b/>
          <w:i/>
          <w:sz w:val="24"/>
          <w:szCs w:val="24"/>
          <w:lang w:val="fr-FR"/>
        </w:rPr>
        <w:lastRenderedPageBreak/>
        <w:t>Rejette</w:t>
      </w:r>
      <w:r w:rsidRPr="00FF16BD">
        <w:rPr>
          <w:rFonts w:ascii="Arial" w:eastAsia="Calibri" w:hAnsi="Arial" w:cs="Arial"/>
          <w:sz w:val="24"/>
          <w:szCs w:val="24"/>
          <w:lang w:val="fr-FR"/>
        </w:rPr>
        <w:t xml:space="preserve"> l’exception d’irrecevabilité tirée du non-épuisement des </w:t>
      </w:r>
      <w:r w:rsidR="00795831" w:rsidRPr="00FF16BD">
        <w:rPr>
          <w:rFonts w:ascii="Arial" w:eastAsia="Calibri" w:hAnsi="Arial" w:cs="Arial"/>
          <w:sz w:val="24"/>
          <w:szCs w:val="24"/>
          <w:lang w:val="fr-FR"/>
        </w:rPr>
        <w:t xml:space="preserve">voies de </w:t>
      </w:r>
      <w:r w:rsidRPr="00FF16BD">
        <w:rPr>
          <w:rFonts w:ascii="Arial" w:eastAsia="Calibri" w:hAnsi="Arial" w:cs="Arial"/>
          <w:sz w:val="24"/>
          <w:szCs w:val="24"/>
          <w:lang w:val="fr-FR"/>
        </w:rPr>
        <w:t xml:space="preserve">recours internes ; </w:t>
      </w:r>
    </w:p>
    <w:p w14:paraId="2CD0BBC9" w14:textId="77777777" w:rsidR="00162274" w:rsidRPr="00FF16BD" w:rsidRDefault="00162274" w:rsidP="0049758E">
      <w:pPr>
        <w:pStyle w:val="ListParagraph"/>
        <w:spacing w:after="200" w:line="360" w:lineRule="auto"/>
        <w:ind w:left="2520"/>
        <w:jc w:val="both"/>
        <w:rPr>
          <w:rFonts w:ascii="Arial" w:eastAsia="Calibri" w:hAnsi="Arial" w:cs="Arial"/>
          <w:bCs/>
          <w:sz w:val="24"/>
          <w:szCs w:val="24"/>
          <w:lang w:val="fr-FR"/>
        </w:rPr>
      </w:pPr>
    </w:p>
    <w:p w14:paraId="7E264A2A" w14:textId="77777777" w:rsidR="005B5DE4" w:rsidRPr="00FF16BD" w:rsidRDefault="005B5DE4" w:rsidP="0049758E">
      <w:pPr>
        <w:pStyle w:val="ListParagraph"/>
        <w:numPr>
          <w:ilvl w:val="0"/>
          <w:numId w:val="22"/>
        </w:numPr>
        <w:spacing w:after="200" w:line="360" w:lineRule="auto"/>
        <w:jc w:val="both"/>
        <w:rPr>
          <w:rFonts w:ascii="Arial" w:eastAsia="Calibri" w:hAnsi="Arial" w:cs="Arial"/>
          <w:bCs/>
          <w:sz w:val="24"/>
          <w:szCs w:val="24"/>
          <w:lang w:val="fr-FR"/>
        </w:rPr>
      </w:pPr>
      <w:r w:rsidRPr="00FF16BD">
        <w:rPr>
          <w:rFonts w:ascii="Arial" w:eastAsia="Calibri" w:hAnsi="Arial" w:cs="Arial"/>
          <w:b/>
          <w:i/>
          <w:sz w:val="24"/>
          <w:szCs w:val="24"/>
          <w:lang w:val="fr-FR"/>
        </w:rPr>
        <w:t>Rejette</w:t>
      </w:r>
      <w:r w:rsidRPr="00FF16BD">
        <w:rPr>
          <w:rFonts w:ascii="Arial" w:eastAsia="Calibri" w:hAnsi="Arial" w:cs="Arial"/>
          <w:sz w:val="24"/>
          <w:szCs w:val="24"/>
          <w:lang w:val="fr-FR"/>
        </w:rPr>
        <w:t xml:space="preserve"> l’exception d’irrecevabilité tirée du défaut d’introduction de la Requête dans un délai raisonnable ;</w:t>
      </w:r>
    </w:p>
    <w:p w14:paraId="1DF833D5" w14:textId="77777777" w:rsidR="00AB44F1" w:rsidRPr="00FF16BD" w:rsidRDefault="00AB44F1" w:rsidP="0049758E">
      <w:pPr>
        <w:pStyle w:val="ListParagraph"/>
        <w:spacing w:after="200" w:line="360" w:lineRule="auto"/>
        <w:ind w:left="2520"/>
        <w:jc w:val="both"/>
        <w:rPr>
          <w:rFonts w:ascii="Arial" w:eastAsia="Calibri" w:hAnsi="Arial" w:cs="Arial"/>
          <w:bCs/>
          <w:sz w:val="24"/>
          <w:szCs w:val="24"/>
          <w:lang w:val="fr-FR"/>
        </w:rPr>
      </w:pPr>
    </w:p>
    <w:p w14:paraId="55E92E8C" w14:textId="064B100B" w:rsidR="00AB44F1" w:rsidRPr="00FF16BD" w:rsidRDefault="00AB44F1" w:rsidP="0049758E">
      <w:pPr>
        <w:pStyle w:val="ListParagraph"/>
        <w:numPr>
          <w:ilvl w:val="0"/>
          <w:numId w:val="22"/>
        </w:numPr>
        <w:spacing w:after="200" w:line="360" w:lineRule="auto"/>
        <w:jc w:val="both"/>
        <w:rPr>
          <w:rFonts w:ascii="Arial" w:eastAsia="Calibri" w:hAnsi="Arial" w:cs="Arial"/>
          <w:bCs/>
          <w:sz w:val="24"/>
          <w:szCs w:val="24"/>
          <w:lang w:val="fr-FR"/>
        </w:rPr>
      </w:pPr>
      <w:r w:rsidRPr="00FF16BD">
        <w:rPr>
          <w:rFonts w:ascii="Arial" w:eastAsia="Calibri" w:hAnsi="Arial" w:cs="Arial"/>
          <w:b/>
          <w:i/>
          <w:sz w:val="24"/>
          <w:szCs w:val="24"/>
          <w:lang w:val="fr-FR"/>
        </w:rPr>
        <w:t>Retient</w:t>
      </w:r>
      <w:r w:rsidRPr="00FF16BD">
        <w:rPr>
          <w:rFonts w:ascii="Arial" w:eastAsia="Calibri" w:hAnsi="Arial" w:cs="Arial"/>
          <w:sz w:val="24"/>
          <w:szCs w:val="24"/>
          <w:lang w:val="fr-FR"/>
        </w:rPr>
        <w:t xml:space="preserve"> l’</w:t>
      </w:r>
      <w:r w:rsidR="00D91769" w:rsidRPr="00FF16BD">
        <w:rPr>
          <w:rFonts w:ascii="Arial" w:eastAsia="Calibri" w:hAnsi="Arial" w:cs="Arial"/>
          <w:sz w:val="24"/>
          <w:szCs w:val="24"/>
          <w:lang w:val="fr-FR"/>
        </w:rPr>
        <w:t>exception</w:t>
      </w:r>
      <w:r w:rsidRPr="00FF16BD">
        <w:rPr>
          <w:rFonts w:ascii="Arial" w:eastAsia="Calibri" w:hAnsi="Arial" w:cs="Arial"/>
          <w:sz w:val="24"/>
          <w:szCs w:val="24"/>
          <w:lang w:val="fr-FR"/>
        </w:rPr>
        <w:t xml:space="preserve"> d’irrecevabilité </w:t>
      </w:r>
      <w:r w:rsidR="005B5DE4" w:rsidRPr="00FF16BD">
        <w:rPr>
          <w:rFonts w:ascii="Arial" w:eastAsia="Calibri" w:hAnsi="Arial" w:cs="Arial"/>
          <w:sz w:val="24"/>
          <w:szCs w:val="24"/>
          <w:lang w:val="fr-FR"/>
        </w:rPr>
        <w:t>tirée du règlement du différend au sens de l’article 56(7) de la Charte</w:t>
      </w:r>
      <w:r w:rsidR="00C91974" w:rsidRPr="00FF16BD">
        <w:rPr>
          <w:rFonts w:ascii="Arial" w:eastAsia="Calibri" w:hAnsi="Arial" w:cs="Arial"/>
          <w:sz w:val="24"/>
          <w:szCs w:val="24"/>
          <w:lang w:val="fr-FR"/>
        </w:rPr>
        <w:t xml:space="preserve"> </w:t>
      </w:r>
      <w:r w:rsidRPr="00FF16BD">
        <w:rPr>
          <w:rFonts w:ascii="Arial" w:eastAsia="Calibri" w:hAnsi="Arial" w:cs="Arial"/>
          <w:sz w:val="24"/>
          <w:szCs w:val="24"/>
          <w:lang w:val="fr-FR"/>
        </w:rPr>
        <w:t>;</w:t>
      </w:r>
    </w:p>
    <w:p w14:paraId="6DAB853A" w14:textId="77777777" w:rsidR="00AB44F1" w:rsidRPr="00FF16BD" w:rsidRDefault="00AB44F1" w:rsidP="0049758E">
      <w:pPr>
        <w:pStyle w:val="ListParagraph"/>
        <w:spacing w:line="360" w:lineRule="auto"/>
        <w:jc w:val="both"/>
        <w:rPr>
          <w:rFonts w:ascii="Arial" w:eastAsia="Calibri" w:hAnsi="Arial" w:cs="Arial"/>
          <w:sz w:val="24"/>
          <w:szCs w:val="24"/>
          <w:lang w:val="fr-FR"/>
        </w:rPr>
      </w:pPr>
    </w:p>
    <w:p w14:paraId="6822F023" w14:textId="5C33D9A9" w:rsidR="00AB44F1" w:rsidRPr="00FF16BD" w:rsidRDefault="00AB44F1" w:rsidP="0049758E">
      <w:pPr>
        <w:pStyle w:val="ListParagraph"/>
        <w:numPr>
          <w:ilvl w:val="0"/>
          <w:numId w:val="22"/>
        </w:numPr>
        <w:spacing w:after="200" w:line="360" w:lineRule="auto"/>
        <w:jc w:val="both"/>
        <w:rPr>
          <w:rFonts w:ascii="Arial" w:eastAsia="Calibri" w:hAnsi="Arial" w:cs="Arial"/>
          <w:bCs/>
          <w:sz w:val="24"/>
          <w:szCs w:val="24"/>
          <w:lang w:val="fr-FR"/>
        </w:rPr>
      </w:pPr>
      <w:r w:rsidRPr="00FF16BD">
        <w:rPr>
          <w:rFonts w:ascii="Arial" w:eastAsia="Calibri" w:hAnsi="Arial" w:cs="Arial"/>
          <w:b/>
          <w:i/>
          <w:sz w:val="24"/>
          <w:szCs w:val="24"/>
          <w:lang w:val="fr-FR"/>
        </w:rPr>
        <w:t>Déclare</w:t>
      </w:r>
      <w:r w:rsidRPr="00FF16BD">
        <w:rPr>
          <w:rFonts w:ascii="Arial" w:eastAsia="Calibri" w:hAnsi="Arial" w:cs="Arial"/>
          <w:i/>
          <w:sz w:val="24"/>
          <w:szCs w:val="24"/>
          <w:lang w:val="fr-FR"/>
        </w:rPr>
        <w:t xml:space="preserve"> </w:t>
      </w:r>
      <w:r w:rsidR="00C91974" w:rsidRPr="00FF16BD">
        <w:rPr>
          <w:rFonts w:ascii="Arial" w:eastAsia="Calibri" w:hAnsi="Arial" w:cs="Arial"/>
          <w:sz w:val="24"/>
          <w:szCs w:val="24"/>
          <w:lang w:val="fr-FR"/>
        </w:rPr>
        <w:t>en conséquence la R</w:t>
      </w:r>
      <w:r w:rsidRPr="00FF16BD">
        <w:rPr>
          <w:rFonts w:ascii="Arial" w:eastAsia="Calibri" w:hAnsi="Arial" w:cs="Arial"/>
          <w:sz w:val="24"/>
          <w:szCs w:val="24"/>
          <w:lang w:val="fr-FR"/>
        </w:rPr>
        <w:t>equête irrecevable</w:t>
      </w:r>
      <w:r w:rsidR="00C91974" w:rsidRPr="00FF16BD">
        <w:rPr>
          <w:rFonts w:ascii="Arial" w:eastAsia="Calibri" w:hAnsi="Arial" w:cs="Arial"/>
          <w:sz w:val="24"/>
          <w:szCs w:val="24"/>
          <w:lang w:val="fr-FR"/>
        </w:rPr>
        <w:t xml:space="preserve"> </w:t>
      </w:r>
      <w:r w:rsidRPr="00FF16BD">
        <w:rPr>
          <w:rFonts w:ascii="Arial" w:eastAsia="Calibri" w:hAnsi="Arial" w:cs="Arial"/>
          <w:sz w:val="24"/>
          <w:szCs w:val="24"/>
          <w:lang w:val="fr-FR"/>
        </w:rPr>
        <w:t>;</w:t>
      </w:r>
    </w:p>
    <w:p w14:paraId="1F63687A" w14:textId="77777777" w:rsidR="00BD4214" w:rsidRPr="00FF16BD" w:rsidRDefault="00BD4214" w:rsidP="0049758E">
      <w:pPr>
        <w:pStyle w:val="ListParagraph"/>
        <w:spacing w:line="360" w:lineRule="auto"/>
        <w:jc w:val="both"/>
        <w:rPr>
          <w:rFonts w:ascii="Arial" w:eastAsia="Calibri" w:hAnsi="Arial" w:cs="Arial"/>
          <w:sz w:val="24"/>
          <w:szCs w:val="24"/>
          <w:lang w:val="fr-FR"/>
        </w:rPr>
      </w:pPr>
    </w:p>
    <w:p w14:paraId="5B71946D" w14:textId="31C7565F" w:rsidR="007C2B1E" w:rsidRPr="00FF16BD" w:rsidRDefault="007C2B1E" w:rsidP="0049758E">
      <w:pPr>
        <w:spacing w:line="360" w:lineRule="auto"/>
        <w:jc w:val="both"/>
        <w:rPr>
          <w:rFonts w:ascii="Arial" w:eastAsia="Calibri" w:hAnsi="Arial" w:cs="Arial"/>
          <w:b/>
          <w:i/>
          <w:sz w:val="24"/>
          <w:szCs w:val="24"/>
          <w:lang w:val="fr-FR"/>
        </w:rPr>
      </w:pPr>
      <w:r w:rsidRPr="00FF16BD">
        <w:rPr>
          <w:rFonts w:ascii="Arial" w:eastAsia="Calibri" w:hAnsi="Arial" w:cs="Arial"/>
          <w:b/>
          <w:i/>
          <w:sz w:val="24"/>
          <w:szCs w:val="24"/>
          <w:lang w:val="fr-FR"/>
        </w:rPr>
        <w:t xml:space="preserve">Sur les frais de procédure </w:t>
      </w:r>
    </w:p>
    <w:p w14:paraId="7DC688C2" w14:textId="77777777" w:rsidR="007C2B1E" w:rsidRPr="00FF16BD" w:rsidRDefault="007C2B1E" w:rsidP="0049758E">
      <w:pPr>
        <w:pStyle w:val="ListParagraph"/>
        <w:spacing w:line="360" w:lineRule="auto"/>
        <w:jc w:val="both"/>
        <w:rPr>
          <w:rFonts w:ascii="Arial" w:eastAsia="Calibri" w:hAnsi="Arial" w:cs="Arial"/>
          <w:sz w:val="24"/>
          <w:szCs w:val="24"/>
          <w:lang w:val="fr-FR"/>
        </w:rPr>
      </w:pPr>
    </w:p>
    <w:p w14:paraId="43ABCA2A" w14:textId="4C3222C1" w:rsidR="00BD4214" w:rsidRPr="00FF16BD" w:rsidRDefault="00BD4214" w:rsidP="0049758E">
      <w:pPr>
        <w:pStyle w:val="ListParagraph"/>
        <w:numPr>
          <w:ilvl w:val="0"/>
          <w:numId w:val="22"/>
        </w:numPr>
        <w:spacing w:after="200" w:line="360" w:lineRule="auto"/>
        <w:jc w:val="both"/>
        <w:rPr>
          <w:rFonts w:ascii="Arial" w:eastAsia="Calibri" w:hAnsi="Arial" w:cs="Arial"/>
          <w:bCs/>
          <w:sz w:val="24"/>
          <w:szCs w:val="24"/>
          <w:lang w:val="fr-FR"/>
        </w:rPr>
      </w:pPr>
      <w:r w:rsidRPr="00FF16BD">
        <w:rPr>
          <w:rFonts w:ascii="Arial" w:eastAsia="Calibri" w:hAnsi="Arial" w:cs="Arial"/>
          <w:b/>
          <w:bCs/>
          <w:i/>
          <w:sz w:val="24"/>
          <w:szCs w:val="24"/>
          <w:lang w:val="fr-FR"/>
        </w:rPr>
        <w:t>Dit</w:t>
      </w:r>
      <w:r w:rsidRPr="00FF16BD">
        <w:rPr>
          <w:rFonts w:ascii="Arial" w:eastAsia="Calibri" w:hAnsi="Arial" w:cs="Arial"/>
          <w:bCs/>
          <w:sz w:val="24"/>
          <w:szCs w:val="24"/>
          <w:lang w:val="fr-FR"/>
        </w:rPr>
        <w:t xml:space="preserve"> que chaque partie doit supporter ses </w:t>
      </w:r>
      <w:r w:rsidR="005B5DE4" w:rsidRPr="00FF16BD">
        <w:rPr>
          <w:rFonts w:ascii="Arial" w:eastAsia="Calibri" w:hAnsi="Arial" w:cs="Arial"/>
          <w:bCs/>
          <w:sz w:val="24"/>
          <w:szCs w:val="24"/>
          <w:lang w:val="fr-FR"/>
        </w:rPr>
        <w:t xml:space="preserve">frais de procédure </w:t>
      </w:r>
      <w:r w:rsidRPr="00FF16BD">
        <w:rPr>
          <w:rFonts w:ascii="Arial" w:eastAsia="Calibri" w:hAnsi="Arial" w:cs="Arial"/>
          <w:bCs/>
          <w:sz w:val="24"/>
          <w:szCs w:val="24"/>
          <w:lang w:val="fr-FR"/>
        </w:rPr>
        <w:t>;</w:t>
      </w:r>
    </w:p>
    <w:p w14:paraId="30778FCA" w14:textId="77777777" w:rsidR="00917627" w:rsidRPr="00FF16BD" w:rsidRDefault="00917627">
      <w:pPr>
        <w:rPr>
          <w:rFonts w:ascii="Arial" w:eastAsia="Calibri" w:hAnsi="Arial" w:cs="Arial"/>
          <w:sz w:val="24"/>
          <w:szCs w:val="24"/>
          <w:lang w:val="fr-FR"/>
        </w:rPr>
      </w:pPr>
      <w:r w:rsidRPr="00FF16BD">
        <w:rPr>
          <w:rFonts w:ascii="Arial" w:eastAsia="Calibri" w:hAnsi="Arial" w:cs="Arial"/>
          <w:sz w:val="24"/>
          <w:szCs w:val="24"/>
          <w:lang w:val="fr-FR"/>
        </w:rPr>
        <w:br w:type="page"/>
      </w:r>
    </w:p>
    <w:p w14:paraId="75D40CC0" w14:textId="77777777" w:rsidR="00AB44F1" w:rsidRPr="00FF16BD" w:rsidRDefault="00AB44F1" w:rsidP="00861D66">
      <w:pPr>
        <w:spacing w:line="600" w:lineRule="auto"/>
        <w:rPr>
          <w:rFonts w:ascii="Arial" w:hAnsi="Arial" w:cs="Arial"/>
          <w:sz w:val="24"/>
          <w:lang w:val="fr-FR"/>
        </w:rPr>
      </w:pPr>
      <w:r w:rsidRPr="00FF16BD">
        <w:rPr>
          <w:rFonts w:ascii="Arial" w:hAnsi="Arial" w:cs="Arial"/>
          <w:sz w:val="24"/>
          <w:lang w:val="fr-FR"/>
        </w:rPr>
        <w:lastRenderedPageBreak/>
        <w:t>Ont signé :</w:t>
      </w:r>
    </w:p>
    <w:p w14:paraId="62FA0FD1" w14:textId="77777777" w:rsidR="00AB44F1" w:rsidRPr="00FF16BD" w:rsidRDefault="00AB44F1" w:rsidP="00861D66">
      <w:pPr>
        <w:spacing w:line="600" w:lineRule="auto"/>
        <w:rPr>
          <w:rFonts w:ascii="Arial" w:hAnsi="Arial" w:cs="Arial"/>
          <w:sz w:val="24"/>
          <w:lang w:val="fr-FR"/>
        </w:rPr>
      </w:pPr>
      <w:r w:rsidRPr="00FF16BD">
        <w:rPr>
          <w:rFonts w:ascii="Arial" w:hAnsi="Arial" w:cs="Arial"/>
          <w:sz w:val="24"/>
          <w:lang w:val="fr-FR"/>
        </w:rPr>
        <w:t>Ben KIOKO, Vice-Président</w:t>
      </w:r>
    </w:p>
    <w:p w14:paraId="2E3DBEB0" w14:textId="77777777" w:rsidR="00AB44F1" w:rsidRPr="00FF16BD" w:rsidRDefault="00AB44F1" w:rsidP="00861D66">
      <w:pPr>
        <w:spacing w:line="600" w:lineRule="auto"/>
        <w:rPr>
          <w:rFonts w:ascii="Arial" w:hAnsi="Arial" w:cs="Arial"/>
          <w:sz w:val="24"/>
          <w:lang w:val="fr-FR"/>
        </w:rPr>
      </w:pPr>
      <w:r w:rsidRPr="00FF16BD">
        <w:rPr>
          <w:rFonts w:ascii="Arial" w:hAnsi="Arial" w:cs="Arial"/>
          <w:sz w:val="24"/>
          <w:lang w:val="fr-FR"/>
        </w:rPr>
        <w:t>Gérard NIYUNGEKO, Juge</w:t>
      </w:r>
    </w:p>
    <w:p w14:paraId="11C91FC9" w14:textId="77777777" w:rsidR="00AB44F1" w:rsidRPr="00FF16BD" w:rsidRDefault="00AB44F1" w:rsidP="00861D66">
      <w:pPr>
        <w:spacing w:line="600" w:lineRule="auto"/>
        <w:rPr>
          <w:rFonts w:ascii="Arial" w:hAnsi="Arial" w:cs="Arial"/>
          <w:sz w:val="24"/>
          <w:lang w:val="fr-FR"/>
        </w:rPr>
      </w:pPr>
      <w:r w:rsidRPr="00FF16BD">
        <w:rPr>
          <w:rFonts w:ascii="Arial" w:hAnsi="Arial" w:cs="Arial"/>
          <w:sz w:val="24"/>
          <w:lang w:val="fr-FR"/>
        </w:rPr>
        <w:t>El Hadji GUISSÉ, Juge</w:t>
      </w:r>
    </w:p>
    <w:p w14:paraId="6BD51E2F" w14:textId="77777777" w:rsidR="00AB44F1" w:rsidRPr="00FF16BD" w:rsidRDefault="00F50EAB" w:rsidP="00861D66">
      <w:pPr>
        <w:spacing w:line="600" w:lineRule="auto"/>
        <w:rPr>
          <w:rFonts w:ascii="Arial" w:hAnsi="Arial" w:cs="Arial"/>
          <w:sz w:val="24"/>
          <w:lang w:val="fr-FR"/>
        </w:rPr>
      </w:pPr>
      <w:proofErr w:type="spellStart"/>
      <w:r w:rsidRPr="00FF16BD">
        <w:rPr>
          <w:rFonts w:ascii="Arial" w:hAnsi="Arial" w:cs="Arial"/>
          <w:sz w:val="24"/>
          <w:lang w:val="fr-FR"/>
        </w:rPr>
        <w:t>Rafâa</w:t>
      </w:r>
      <w:proofErr w:type="spellEnd"/>
      <w:r w:rsidR="00AB44F1" w:rsidRPr="00FF16BD">
        <w:rPr>
          <w:rFonts w:ascii="Arial" w:hAnsi="Arial" w:cs="Arial"/>
          <w:sz w:val="24"/>
          <w:lang w:val="fr-FR"/>
        </w:rPr>
        <w:t xml:space="preserve"> BEN ACHOUR, Juge</w:t>
      </w:r>
    </w:p>
    <w:p w14:paraId="69F3EBCE" w14:textId="77777777" w:rsidR="00AB44F1" w:rsidRPr="00FF16BD" w:rsidRDefault="00AB44F1" w:rsidP="00861D66">
      <w:pPr>
        <w:spacing w:line="600" w:lineRule="auto"/>
        <w:rPr>
          <w:rFonts w:ascii="Arial" w:hAnsi="Arial" w:cs="Arial"/>
          <w:sz w:val="24"/>
          <w:lang w:val="fr-FR"/>
        </w:rPr>
      </w:pPr>
      <w:r w:rsidRPr="00FF16BD">
        <w:rPr>
          <w:rFonts w:ascii="Arial" w:hAnsi="Arial" w:cs="Arial"/>
          <w:sz w:val="24"/>
          <w:lang w:val="fr-FR"/>
        </w:rPr>
        <w:t>Angelo V. MATUSSE, Juge</w:t>
      </w:r>
    </w:p>
    <w:p w14:paraId="4DAA2C0E" w14:textId="77777777" w:rsidR="00AB44F1" w:rsidRPr="00FF16BD" w:rsidRDefault="00AB44F1" w:rsidP="00861D66">
      <w:pPr>
        <w:spacing w:line="600" w:lineRule="auto"/>
        <w:rPr>
          <w:rFonts w:ascii="Arial" w:eastAsia="MS Mincho" w:hAnsi="Arial" w:cs="Arial"/>
          <w:sz w:val="24"/>
          <w:lang w:val="fr-FR" w:eastAsia="fr-FR"/>
        </w:rPr>
      </w:pPr>
      <w:proofErr w:type="spellStart"/>
      <w:r w:rsidRPr="00FF16BD">
        <w:rPr>
          <w:rFonts w:ascii="Arial" w:eastAsia="MS Mincho" w:hAnsi="Arial" w:cs="Arial"/>
          <w:sz w:val="24"/>
          <w:lang w:val="fr-FR" w:eastAsia="fr-FR"/>
        </w:rPr>
        <w:t>Ntyam</w:t>
      </w:r>
      <w:proofErr w:type="spellEnd"/>
      <w:r w:rsidRPr="00FF16BD">
        <w:rPr>
          <w:rFonts w:ascii="Arial" w:eastAsia="MS Mincho" w:hAnsi="Arial" w:cs="Arial"/>
          <w:sz w:val="24"/>
          <w:lang w:val="fr-FR" w:eastAsia="fr-FR"/>
        </w:rPr>
        <w:t xml:space="preserve"> O. MENGUE, Juge</w:t>
      </w:r>
    </w:p>
    <w:p w14:paraId="1468F659" w14:textId="77777777" w:rsidR="00AB44F1" w:rsidRPr="00FF16BD" w:rsidRDefault="00AB44F1" w:rsidP="00861D66">
      <w:pPr>
        <w:spacing w:line="600" w:lineRule="auto"/>
        <w:rPr>
          <w:rFonts w:ascii="Arial" w:eastAsia="MS Mincho" w:hAnsi="Arial" w:cs="Arial"/>
          <w:sz w:val="24"/>
          <w:lang w:val="fr-FR" w:eastAsia="fr-FR"/>
        </w:rPr>
      </w:pPr>
      <w:r w:rsidRPr="00FF16BD">
        <w:rPr>
          <w:rFonts w:ascii="Arial" w:eastAsia="MS Mincho" w:hAnsi="Arial" w:cs="Arial"/>
          <w:sz w:val="24"/>
          <w:lang w:val="fr-FR" w:eastAsia="fr-FR"/>
        </w:rPr>
        <w:t>Marie-Thérèse MUKAMULISA, Juge</w:t>
      </w:r>
    </w:p>
    <w:p w14:paraId="19BF5EF8" w14:textId="77777777" w:rsidR="00AB44F1" w:rsidRPr="00FF16BD" w:rsidRDefault="00AB44F1" w:rsidP="00861D66">
      <w:pPr>
        <w:spacing w:line="600" w:lineRule="auto"/>
        <w:rPr>
          <w:rFonts w:ascii="Arial" w:eastAsia="MS Mincho" w:hAnsi="Arial" w:cs="Arial"/>
          <w:sz w:val="24"/>
          <w:lang w:val="fr-FR" w:eastAsia="fr-FR"/>
        </w:rPr>
      </w:pPr>
      <w:proofErr w:type="spellStart"/>
      <w:r w:rsidRPr="00FF16BD">
        <w:rPr>
          <w:rFonts w:ascii="Arial" w:eastAsia="MS Mincho" w:hAnsi="Arial" w:cs="Arial"/>
          <w:sz w:val="24"/>
          <w:lang w:val="fr-FR" w:eastAsia="fr-FR"/>
        </w:rPr>
        <w:t>Tujilane</w:t>
      </w:r>
      <w:proofErr w:type="spellEnd"/>
      <w:r w:rsidRPr="00FF16BD">
        <w:rPr>
          <w:rFonts w:ascii="Arial" w:eastAsia="MS Mincho" w:hAnsi="Arial" w:cs="Arial"/>
          <w:sz w:val="24"/>
          <w:lang w:val="fr-FR" w:eastAsia="fr-FR"/>
        </w:rPr>
        <w:t xml:space="preserve"> R. CHIZUMILA, Juge</w:t>
      </w:r>
    </w:p>
    <w:p w14:paraId="5DAB1121" w14:textId="77777777" w:rsidR="00AB44F1" w:rsidRPr="00FF16BD" w:rsidRDefault="00AB44F1" w:rsidP="00861D66">
      <w:pPr>
        <w:spacing w:line="600" w:lineRule="auto"/>
        <w:rPr>
          <w:rFonts w:ascii="Arial" w:eastAsia="MS Mincho" w:hAnsi="Arial" w:cs="Arial"/>
          <w:sz w:val="24"/>
          <w:lang w:val="fr-FR" w:eastAsia="fr-FR"/>
        </w:rPr>
      </w:pPr>
      <w:r w:rsidRPr="00FF16BD">
        <w:rPr>
          <w:rFonts w:ascii="Arial" w:eastAsia="MS Mincho" w:hAnsi="Arial" w:cs="Arial"/>
          <w:sz w:val="24"/>
          <w:lang w:val="fr-FR" w:eastAsia="fr-FR"/>
        </w:rPr>
        <w:t>Chafika BENSAOULA, Juge et</w:t>
      </w:r>
    </w:p>
    <w:p w14:paraId="06BD124F" w14:textId="77777777" w:rsidR="00AB44F1" w:rsidRPr="00FF16BD" w:rsidRDefault="00AB44F1" w:rsidP="00861D66">
      <w:pPr>
        <w:spacing w:line="600" w:lineRule="auto"/>
        <w:rPr>
          <w:rFonts w:ascii="Arial" w:eastAsia="MS Mincho" w:hAnsi="Arial" w:cs="Arial"/>
          <w:sz w:val="24"/>
          <w:lang w:val="fr-FR" w:eastAsia="fr-FR"/>
        </w:rPr>
      </w:pPr>
      <w:r w:rsidRPr="00FF16BD">
        <w:rPr>
          <w:rFonts w:ascii="Arial" w:eastAsia="MS Mincho" w:hAnsi="Arial" w:cs="Arial"/>
          <w:sz w:val="24"/>
          <w:lang w:val="fr-FR" w:eastAsia="fr-FR"/>
        </w:rPr>
        <w:t>Robert ENO, Greffier</w:t>
      </w:r>
    </w:p>
    <w:p w14:paraId="0827C861" w14:textId="77777777" w:rsidR="00B532B6" w:rsidRPr="00FF16BD" w:rsidRDefault="00B532B6" w:rsidP="0049758E">
      <w:pPr>
        <w:spacing w:line="360" w:lineRule="auto"/>
        <w:jc w:val="both"/>
        <w:rPr>
          <w:rFonts w:ascii="Arial" w:hAnsi="Arial" w:cs="Arial"/>
          <w:sz w:val="24"/>
          <w:lang w:val="fr-FR"/>
        </w:rPr>
      </w:pPr>
      <w:r w:rsidRPr="00FF16BD">
        <w:rPr>
          <w:rFonts w:ascii="Arial" w:hAnsi="Arial" w:cs="Arial"/>
          <w:sz w:val="24"/>
          <w:lang w:val="fr-FR"/>
        </w:rPr>
        <w:t xml:space="preserve">Conformément aux articles 28(7) du Protocole et 60(5) du Règlement, l’opinion individuelle conjointe du Vice-Président Ben KIOKO et du Juge Angelo V. MATUSSE est jointe au présent arrêt. </w:t>
      </w:r>
    </w:p>
    <w:p w14:paraId="1E7402B8" w14:textId="793EE11D" w:rsidR="00190DBE" w:rsidRPr="00FF16BD" w:rsidRDefault="00AB44F1" w:rsidP="0049758E">
      <w:pPr>
        <w:spacing w:line="360" w:lineRule="auto"/>
        <w:jc w:val="both"/>
        <w:rPr>
          <w:rFonts w:ascii="Arial" w:hAnsi="Arial" w:cs="Arial"/>
          <w:sz w:val="24"/>
          <w:lang w:val="fr-FR"/>
        </w:rPr>
      </w:pPr>
      <w:r w:rsidRPr="00FF16BD">
        <w:rPr>
          <w:rFonts w:ascii="Arial" w:hAnsi="Arial" w:cs="Arial"/>
          <w:sz w:val="24"/>
          <w:lang w:val="fr-FR"/>
        </w:rPr>
        <w:t xml:space="preserve">Fait à </w:t>
      </w:r>
      <w:r w:rsidR="00F50EAB" w:rsidRPr="00FF16BD">
        <w:rPr>
          <w:rFonts w:ascii="Arial" w:hAnsi="Arial" w:cs="Arial"/>
          <w:sz w:val="24"/>
          <w:lang w:val="fr-FR"/>
        </w:rPr>
        <w:t>Arusha, ce</w:t>
      </w:r>
      <w:r w:rsidR="00B531AE" w:rsidRPr="00FF16BD">
        <w:rPr>
          <w:rFonts w:ascii="Arial" w:hAnsi="Arial" w:cs="Arial"/>
          <w:sz w:val="24"/>
          <w:lang w:val="fr-FR"/>
        </w:rPr>
        <w:t xml:space="preserve"> vingt</w:t>
      </w:r>
      <w:r w:rsidR="00563CDC" w:rsidRPr="00FF16BD">
        <w:rPr>
          <w:rFonts w:ascii="Arial" w:hAnsi="Arial" w:cs="Arial"/>
          <w:sz w:val="24"/>
          <w:lang w:val="fr-FR"/>
        </w:rPr>
        <w:t>-</w:t>
      </w:r>
      <w:r w:rsidR="005C2EBC" w:rsidRPr="00FF16BD">
        <w:rPr>
          <w:rFonts w:ascii="Arial" w:hAnsi="Arial" w:cs="Arial"/>
          <w:sz w:val="24"/>
          <w:lang w:val="fr-FR"/>
        </w:rPr>
        <w:t>deuxi</w:t>
      </w:r>
      <w:r w:rsidR="00B531AE" w:rsidRPr="00FF16BD">
        <w:rPr>
          <w:rFonts w:ascii="Arial" w:hAnsi="Arial" w:cs="Arial"/>
          <w:sz w:val="24"/>
          <w:lang w:val="fr-FR"/>
        </w:rPr>
        <w:t>ème</w:t>
      </w:r>
      <w:r w:rsidR="00F50EAB" w:rsidRPr="00FF16BD">
        <w:rPr>
          <w:rFonts w:ascii="Arial" w:hAnsi="Arial" w:cs="Arial"/>
          <w:sz w:val="24"/>
          <w:lang w:val="fr-FR"/>
        </w:rPr>
        <w:t xml:space="preserve"> jour du mois de mars</w:t>
      </w:r>
      <w:r w:rsidRPr="00FF16BD">
        <w:rPr>
          <w:rFonts w:ascii="Arial" w:hAnsi="Arial" w:cs="Arial"/>
          <w:sz w:val="24"/>
          <w:lang w:val="fr-FR"/>
        </w:rPr>
        <w:t xml:space="preserve"> de l’an deux mille dix-huit, en </w:t>
      </w:r>
      <w:r w:rsidR="00D7342D" w:rsidRPr="00FF16BD">
        <w:rPr>
          <w:rFonts w:ascii="Arial" w:hAnsi="Arial" w:cs="Arial"/>
          <w:sz w:val="24"/>
          <w:lang w:val="fr-FR"/>
        </w:rPr>
        <w:t xml:space="preserve">français et en </w:t>
      </w:r>
      <w:r w:rsidRPr="00FF16BD">
        <w:rPr>
          <w:rFonts w:ascii="Arial" w:hAnsi="Arial" w:cs="Arial"/>
          <w:sz w:val="24"/>
          <w:lang w:val="fr-FR"/>
        </w:rPr>
        <w:t>anglais, le texte français faisant foi.</w:t>
      </w:r>
    </w:p>
    <w:p w14:paraId="4DC05024" w14:textId="64A23FAF" w:rsidR="00A719D9" w:rsidRPr="00FF16BD" w:rsidRDefault="00A719D9" w:rsidP="00917627">
      <w:pPr>
        <w:spacing w:line="360" w:lineRule="auto"/>
        <w:jc w:val="both"/>
        <w:rPr>
          <w:rFonts w:ascii="Arial" w:hAnsi="Arial" w:cs="Arial"/>
          <w:b/>
          <w:sz w:val="24"/>
          <w:szCs w:val="24"/>
          <w:lang w:val="fr-FR"/>
        </w:rPr>
      </w:pPr>
    </w:p>
    <w:sectPr w:rsidR="00A719D9" w:rsidRPr="00FF16BD" w:rsidSect="00FF16BD">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8F6A" w14:textId="77777777" w:rsidR="00F867F5" w:rsidRDefault="00F867F5" w:rsidP="00D224FD">
      <w:pPr>
        <w:spacing w:after="0" w:line="240" w:lineRule="auto"/>
      </w:pPr>
      <w:r>
        <w:separator/>
      </w:r>
    </w:p>
  </w:endnote>
  <w:endnote w:type="continuationSeparator" w:id="0">
    <w:p w14:paraId="0C5E769C" w14:textId="77777777" w:rsidR="00F867F5" w:rsidRDefault="00F867F5" w:rsidP="00D2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DB37" w14:textId="77777777" w:rsidR="00FA40F7" w:rsidRDefault="00FA40F7" w:rsidP="000224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2A540" w14:textId="77777777" w:rsidR="00FA40F7" w:rsidRDefault="00FA40F7" w:rsidP="00F81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97472"/>
      <w:docPartObj>
        <w:docPartGallery w:val="Page Numbers (Bottom of Page)"/>
        <w:docPartUnique/>
      </w:docPartObj>
    </w:sdtPr>
    <w:sdtEndPr>
      <w:rPr>
        <w:noProof/>
      </w:rPr>
    </w:sdtEndPr>
    <w:sdtContent>
      <w:p w14:paraId="03DC5A5B" w14:textId="77777777" w:rsidR="00FA40F7" w:rsidRDefault="00FA40F7">
        <w:pPr>
          <w:pStyle w:val="Footer"/>
          <w:jc w:val="center"/>
        </w:pPr>
        <w:r>
          <w:fldChar w:fldCharType="begin"/>
        </w:r>
        <w:r>
          <w:instrText xml:space="preserve"> PAGE   \* MERGEFORMAT </w:instrText>
        </w:r>
        <w:r>
          <w:fldChar w:fldCharType="separate"/>
        </w:r>
        <w:r w:rsidR="009923C4">
          <w:rPr>
            <w:noProof/>
          </w:rPr>
          <w:t>19</w:t>
        </w:r>
        <w:r>
          <w:rPr>
            <w:noProof/>
          </w:rPr>
          <w:fldChar w:fldCharType="end"/>
        </w:r>
      </w:p>
    </w:sdtContent>
  </w:sdt>
  <w:p w14:paraId="3782F5E1" w14:textId="77777777" w:rsidR="00FA40F7" w:rsidRDefault="00FA40F7" w:rsidP="00F81C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66AA" w14:textId="77777777" w:rsidR="00FA40F7" w:rsidRDefault="00FA40F7">
    <w:pPr>
      <w:pStyle w:val="Footer"/>
      <w:jc w:val="center"/>
    </w:pPr>
  </w:p>
  <w:p w14:paraId="0A186BCA" w14:textId="77777777" w:rsidR="00FA40F7" w:rsidRDefault="00FA4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1A7CB" w14:textId="77777777" w:rsidR="00F867F5" w:rsidRDefault="00F867F5" w:rsidP="00D224FD">
      <w:pPr>
        <w:spacing w:after="0" w:line="240" w:lineRule="auto"/>
      </w:pPr>
      <w:r>
        <w:separator/>
      </w:r>
    </w:p>
  </w:footnote>
  <w:footnote w:type="continuationSeparator" w:id="0">
    <w:p w14:paraId="137EDB85" w14:textId="77777777" w:rsidR="00F867F5" w:rsidRDefault="00F867F5" w:rsidP="00D224FD">
      <w:pPr>
        <w:spacing w:after="0" w:line="240" w:lineRule="auto"/>
      </w:pPr>
      <w:r>
        <w:continuationSeparator/>
      </w:r>
    </w:p>
  </w:footnote>
  <w:footnote w:id="1">
    <w:p w14:paraId="63991227" w14:textId="677B9365" w:rsidR="00FA40F7" w:rsidRPr="00F33A82" w:rsidRDefault="00FA40F7" w:rsidP="00E717E8">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F33A82">
        <w:rPr>
          <w:rFonts w:ascii="Arial" w:hAnsi="Arial" w:cs="Arial"/>
          <w:sz w:val="20"/>
          <w:szCs w:val="20"/>
          <w:lang w:val="fr-FR"/>
        </w:rPr>
        <w:t xml:space="preserve"> Voir Requête No. 013/2011. Arrêt du 21/06/2013 sur les exceptions préliminaires, </w:t>
      </w:r>
      <w:r w:rsidRPr="00F33A82">
        <w:rPr>
          <w:rFonts w:ascii="Arial" w:hAnsi="Arial" w:cs="Arial"/>
          <w:i/>
          <w:sz w:val="20"/>
          <w:szCs w:val="20"/>
          <w:lang w:val="fr-FR"/>
        </w:rPr>
        <w:t xml:space="preserve">Norbert </w:t>
      </w:r>
      <w:proofErr w:type="spellStart"/>
      <w:r w:rsidRPr="00F33A82">
        <w:rPr>
          <w:rFonts w:ascii="Arial" w:hAnsi="Arial" w:cs="Arial"/>
          <w:i/>
          <w:sz w:val="20"/>
          <w:szCs w:val="20"/>
          <w:lang w:val="fr-FR"/>
        </w:rPr>
        <w:t>Zongo</w:t>
      </w:r>
      <w:proofErr w:type="spellEnd"/>
      <w:r w:rsidRPr="00F33A82">
        <w:rPr>
          <w:rFonts w:ascii="Arial" w:hAnsi="Arial" w:cs="Arial"/>
          <w:i/>
          <w:sz w:val="20"/>
          <w:szCs w:val="20"/>
          <w:lang w:val="fr-FR"/>
        </w:rPr>
        <w:t xml:space="preserve"> et autres c. Burkina Faso</w:t>
      </w:r>
      <w:r w:rsidRPr="00F33A82">
        <w:rPr>
          <w:rFonts w:ascii="Arial" w:hAnsi="Arial" w:cs="Arial"/>
          <w:sz w:val="20"/>
          <w:szCs w:val="20"/>
          <w:lang w:val="fr-FR"/>
        </w:rPr>
        <w:t xml:space="preserve">, para. 62 ; Requête No. 001/2014. Arrêt 18/11/2016 sur le fond, </w:t>
      </w:r>
      <w:r w:rsidRPr="00F33A82">
        <w:rPr>
          <w:rFonts w:ascii="Arial" w:hAnsi="Arial" w:cs="Arial"/>
          <w:i/>
          <w:sz w:val="20"/>
          <w:szCs w:val="20"/>
          <w:lang w:val="fr-FR"/>
        </w:rPr>
        <w:t>APDH c. Côte d’Ivoire</w:t>
      </w:r>
      <w:r w:rsidRPr="00F33A82">
        <w:rPr>
          <w:rFonts w:ascii="Arial" w:hAnsi="Arial" w:cs="Arial"/>
          <w:sz w:val="20"/>
          <w:szCs w:val="20"/>
          <w:lang w:val="fr-FR"/>
        </w:rPr>
        <w:t>, para. 66.</w:t>
      </w:r>
    </w:p>
  </w:footnote>
  <w:footnote w:id="2">
    <w:p w14:paraId="025A3CAF" w14:textId="6E74B023" w:rsidR="00FA40F7" w:rsidRPr="00F33A82" w:rsidRDefault="00FA40F7" w:rsidP="00E717E8">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F33A82">
        <w:rPr>
          <w:rFonts w:ascii="Arial" w:hAnsi="Arial" w:cs="Arial"/>
          <w:sz w:val="20"/>
          <w:szCs w:val="20"/>
          <w:lang w:val="fr-FR"/>
        </w:rPr>
        <w:t xml:space="preserve"> Arrêt </w:t>
      </w:r>
      <w:proofErr w:type="spellStart"/>
      <w:r w:rsidRPr="00F33A82">
        <w:rPr>
          <w:rFonts w:ascii="Arial" w:hAnsi="Arial" w:cs="Arial"/>
          <w:i/>
          <w:sz w:val="20"/>
          <w:szCs w:val="20"/>
          <w:lang w:val="fr-FR"/>
        </w:rPr>
        <w:t>Zongo</w:t>
      </w:r>
      <w:proofErr w:type="spellEnd"/>
      <w:r w:rsidRPr="00F33A82">
        <w:rPr>
          <w:rFonts w:ascii="Arial" w:hAnsi="Arial" w:cs="Arial"/>
          <w:i/>
          <w:sz w:val="20"/>
          <w:szCs w:val="20"/>
          <w:lang w:val="fr-FR"/>
        </w:rPr>
        <w:t xml:space="preserve"> </w:t>
      </w:r>
      <w:r w:rsidRPr="00F33A82">
        <w:rPr>
          <w:rFonts w:ascii="Arial" w:hAnsi="Arial" w:cs="Arial"/>
          <w:sz w:val="20"/>
          <w:szCs w:val="20"/>
          <w:lang w:val="fr-FR"/>
        </w:rPr>
        <w:t xml:space="preserve">sur les exceptions préliminaires, </w:t>
      </w:r>
      <w:r w:rsidRPr="00933522">
        <w:rPr>
          <w:rFonts w:ascii="Arial" w:hAnsi="Arial" w:cs="Arial"/>
          <w:sz w:val="20"/>
          <w:szCs w:val="20"/>
          <w:lang w:val="fr-FR"/>
        </w:rPr>
        <w:t>précité</w:t>
      </w:r>
      <w:r w:rsidRPr="00F33A82">
        <w:rPr>
          <w:rFonts w:ascii="Arial" w:hAnsi="Arial" w:cs="Arial"/>
          <w:sz w:val="20"/>
          <w:szCs w:val="20"/>
          <w:lang w:val="fr-FR"/>
        </w:rPr>
        <w:t xml:space="preserve">, paras. 68-70 ; Arrêt </w:t>
      </w:r>
      <w:r w:rsidRPr="00F33A82">
        <w:rPr>
          <w:rFonts w:ascii="Arial" w:hAnsi="Arial" w:cs="Arial"/>
          <w:i/>
          <w:sz w:val="20"/>
          <w:szCs w:val="20"/>
          <w:lang w:val="fr-FR"/>
        </w:rPr>
        <w:t>APDH</w:t>
      </w:r>
      <w:r w:rsidRPr="00F33A82">
        <w:rPr>
          <w:rFonts w:ascii="Arial" w:hAnsi="Arial" w:cs="Arial"/>
          <w:sz w:val="20"/>
          <w:szCs w:val="20"/>
          <w:lang w:val="fr-FR"/>
        </w:rPr>
        <w:t xml:space="preserve">, </w:t>
      </w:r>
      <w:r w:rsidRPr="008F0A64">
        <w:rPr>
          <w:rFonts w:ascii="Arial" w:hAnsi="Arial" w:cs="Arial"/>
          <w:sz w:val="20"/>
          <w:szCs w:val="20"/>
          <w:lang w:val="fr-FR"/>
        </w:rPr>
        <w:t>précité</w:t>
      </w:r>
      <w:r w:rsidRPr="00F33A82">
        <w:rPr>
          <w:rFonts w:ascii="Arial" w:hAnsi="Arial" w:cs="Arial"/>
          <w:sz w:val="20"/>
          <w:szCs w:val="20"/>
          <w:lang w:val="fr-FR"/>
        </w:rPr>
        <w:t>, para. 93-106.</w:t>
      </w:r>
    </w:p>
  </w:footnote>
  <w:footnote w:id="3">
    <w:p w14:paraId="6A9C945F" w14:textId="0D9633B7" w:rsidR="00FA40F7" w:rsidRPr="00F33A82" w:rsidRDefault="00FA40F7" w:rsidP="00E478AA">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F33A82">
        <w:rPr>
          <w:rFonts w:ascii="Arial" w:hAnsi="Arial" w:cs="Arial"/>
          <w:sz w:val="20"/>
          <w:szCs w:val="20"/>
          <w:lang w:val="fr-FR"/>
        </w:rPr>
        <w:t xml:space="preserve"> Arrêt </w:t>
      </w:r>
      <w:proofErr w:type="spellStart"/>
      <w:r w:rsidRPr="00F33A82">
        <w:rPr>
          <w:rFonts w:ascii="Arial" w:hAnsi="Arial" w:cs="Arial"/>
          <w:i/>
          <w:sz w:val="20"/>
          <w:szCs w:val="20"/>
          <w:lang w:val="fr-FR"/>
        </w:rPr>
        <w:t>Zongo</w:t>
      </w:r>
      <w:proofErr w:type="spellEnd"/>
      <w:r w:rsidRPr="00F33A82">
        <w:rPr>
          <w:rFonts w:ascii="Arial" w:hAnsi="Arial" w:cs="Arial"/>
          <w:i/>
          <w:sz w:val="20"/>
          <w:szCs w:val="20"/>
          <w:lang w:val="fr-FR"/>
        </w:rPr>
        <w:t xml:space="preserve"> </w:t>
      </w:r>
      <w:r w:rsidR="00181772">
        <w:rPr>
          <w:rFonts w:ascii="Arial" w:hAnsi="Arial" w:cs="Arial"/>
          <w:sz w:val="20"/>
          <w:szCs w:val="20"/>
          <w:lang w:val="fr-FR"/>
        </w:rPr>
        <w:t>précité</w:t>
      </w:r>
      <w:r w:rsidRPr="00F33A82">
        <w:rPr>
          <w:rFonts w:ascii="Arial" w:hAnsi="Arial" w:cs="Arial"/>
          <w:sz w:val="20"/>
          <w:szCs w:val="20"/>
          <w:lang w:val="fr-FR"/>
        </w:rPr>
        <w:t xml:space="preserve">, para. 121 ; Requête No 005/2013. Arrêt du 20/11/2015 sur le fond, </w:t>
      </w:r>
      <w:r w:rsidRPr="00F33A82">
        <w:rPr>
          <w:rFonts w:ascii="Arial" w:hAnsi="Arial" w:cs="Arial"/>
          <w:i/>
          <w:sz w:val="20"/>
          <w:szCs w:val="20"/>
          <w:lang w:val="fr-FR"/>
        </w:rPr>
        <w:t>Alex Thomas c. République Unie de Tanzanie</w:t>
      </w:r>
      <w:r w:rsidRPr="00F33A82">
        <w:rPr>
          <w:rFonts w:ascii="Arial" w:hAnsi="Arial" w:cs="Arial"/>
          <w:sz w:val="20"/>
          <w:szCs w:val="20"/>
          <w:lang w:val="fr-FR"/>
        </w:rPr>
        <w:t>, paras. 73-74.</w:t>
      </w:r>
    </w:p>
  </w:footnote>
  <w:footnote w:id="4">
    <w:p w14:paraId="3F9CD8A0" w14:textId="6AC589F1" w:rsidR="00FA40F7" w:rsidRPr="00933522" w:rsidRDefault="00FA40F7" w:rsidP="006337E3">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CE5B6C">
        <w:rPr>
          <w:rFonts w:ascii="Arial" w:hAnsi="Arial" w:cs="Arial"/>
          <w:sz w:val="20"/>
          <w:szCs w:val="20"/>
          <w:lang w:val="fr-FR"/>
        </w:rPr>
        <w:t xml:space="preserve"> </w:t>
      </w:r>
      <w:r w:rsidRPr="00F33A82">
        <w:rPr>
          <w:rFonts w:ascii="Arial" w:hAnsi="Arial" w:cs="Arial"/>
          <w:sz w:val="20"/>
          <w:szCs w:val="20"/>
          <w:lang w:val="fr-FR"/>
        </w:rPr>
        <w:t xml:space="preserve">Voir Requête 003/2015. Arrêt du 28/09/17 sur le fond, </w:t>
      </w:r>
      <w:r w:rsidRPr="00CE5B6C">
        <w:rPr>
          <w:rFonts w:ascii="Arial" w:hAnsi="Arial" w:cs="Arial"/>
          <w:i/>
          <w:sz w:val="20"/>
          <w:szCs w:val="20"/>
          <w:lang w:val="fr-FR"/>
        </w:rPr>
        <w:t xml:space="preserve">Kennedy </w:t>
      </w:r>
      <w:proofErr w:type="spellStart"/>
      <w:r w:rsidRPr="00CE5B6C">
        <w:rPr>
          <w:rFonts w:ascii="Arial" w:hAnsi="Arial" w:cs="Arial"/>
          <w:i/>
          <w:sz w:val="20"/>
          <w:szCs w:val="20"/>
          <w:lang w:val="fr-FR"/>
        </w:rPr>
        <w:t>Owino</w:t>
      </w:r>
      <w:proofErr w:type="spellEnd"/>
      <w:r w:rsidRPr="00CE5B6C">
        <w:rPr>
          <w:rFonts w:ascii="Arial" w:hAnsi="Arial" w:cs="Arial"/>
          <w:i/>
          <w:sz w:val="20"/>
          <w:szCs w:val="20"/>
          <w:lang w:val="fr-FR"/>
        </w:rPr>
        <w:t xml:space="preserve"> </w:t>
      </w:r>
      <w:proofErr w:type="spellStart"/>
      <w:r w:rsidRPr="00CE5B6C">
        <w:rPr>
          <w:rFonts w:ascii="Arial" w:hAnsi="Arial" w:cs="Arial"/>
          <w:i/>
          <w:sz w:val="20"/>
          <w:szCs w:val="20"/>
          <w:lang w:val="fr-FR"/>
        </w:rPr>
        <w:t>Onyachi</w:t>
      </w:r>
      <w:proofErr w:type="spellEnd"/>
      <w:r w:rsidRPr="00CE5B6C">
        <w:rPr>
          <w:rFonts w:ascii="Arial" w:hAnsi="Arial" w:cs="Arial"/>
          <w:i/>
          <w:sz w:val="20"/>
          <w:szCs w:val="20"/>
          <w:lang w:val="fr-FR"/>
        </w:rPr>
        <w:t xml:space="preserve"> et Charles John </w:t>
      </w:r>
      <w:proofErr w:type="spellStart"/>
      <w:r w:rsidRPr="00CE5B6C">
        <w:rPr>
          <w:rFonts w:ascii="Arial" w:hAnsi="Arial" w:cs="Arial"/>
          <w:i/>
          <w:sz w:val="20"/>
          <w:szCs w:val="20"/>
          <w:lang w:val="fr-FR"/>
        </w:rPr>
        <w:t>Mwanini</w:t>
      </w:r>
      <w:proofErr w:type="spellEnd"/>
      <w:r w:rsidRPr="00CE5B6C">
        <w:rPr>
          <w:rFonts w:ascii="Arial" w:hAnsi="Arial" w:cs="Arial"/>
          <w:i/>
          <w:sz w:val="20"/>
          <w:szCs w:val="20"/>
          <w:lang w:val="fr-FR"/>
        </w:rPr>
        <w:t xml:space="preserve"> </w:t>
      </w:r>
      <w:proofErr w:type="spellStart"/>
      <w:r w:rsidRPr="00CE5B6C">
        <w:rPr>
          <w:rFonts w:ascii="Arial" w:hAnsi="Arial" w:cs="Arial"/>
          <w:i/>
          <w:sz w:val="20"/>
          <w:szCs w:val="20"/>
          <w:lang w:val="fr-FR"/>
        </w:rPr>
        <w:t>Njoka</w:t>
      </w:r>
      <w:proofErr w:type="spellEnd"/>
      <w:r w:rsidRPr="00CE5B6C">
        <w:rPr>
          <w:rFonts w:ascii="Arial" w:hAnsi="Arial" w:cs="Arial"/>
          <w:i/>
          <w:sz w:val="20"/>
          <w:szCs w:val="20"/>
          <w:lang w:val="fr-FR"/>
        </w:rPr>
        <w:t xml:space="preserve"> c. Tanzanie</w:t>
      </w:r>
      <w:r w:rsidRPr="00F33A82">
        <w:rPr>
          <w:rFonts w:ascii="Arial" w:hAnsi="Arial" w:cs="Arial"/>
          <w:sz w:val="20"/>
          <w:szCs w:val="20"/>
          <w:lang w:val="fr-FR"/>
        </w:rPr>
        <w:t xml:space="preserve">, para. 65. La Cour de céans a considéré que lorsque le Requérant a choisi d’exercer un recours supplémentaire tel que la révision, </w:t>
      </w:r>
      <w:r w:rsidR="00F330B6" w:rsidRPr="00933522">
        <w:rPr>
          <w:rFonts w:ascii="Arial" w:hAnsi="Arial" w:cs="Arial"/>
          <w:sz w:val="20"/>
          <w:szCs w:val="20"/>
          <w:lang w:val="fr-FR"/>
        </w:rPr>
        <w:t xml:space="preserve">il ne doit pas être sanctionné pour l’avoir fait. La détermination du caractère raisonnable du délai de saisine doit, dans ce cas, </w:t>
      </w:r>
      <w:r w:rsidR="00181772" w:rsidRPr="00933522">
        <w:rPr>
          <w:rFonts w:ascii="Arial" w:hAnsi="Arial" w:cs="Arial"/>
          <w:sz w:val="20"/>
          <w:szCs w:val="20"/>
          <w:lang w:val="fr-FR"/>
        </w:rPr>
        <w:t>prendre en compte le délai</w:t>
      </w:r>
      <w:r w:rsidR="00F330B6" w:rsidRPr="00933522">
        <w:rPr>
          <w:rFonts w:ascii="Arial" w:hAnsi="Arial" w:cs="Arial"/>
          <w:sz w:val="20"/>
          <w:szCs w:val="20"/>
          <w:lang w:val="fr-FR"/>
        </w:rPr>
        <w:t xml:space="preserve"> mis à épuiser le </w:t>
      </w:r>
      <w:r w:rsidRPr="00933522">
        <w:rPr>
          <w:rFonts w:ascii="Arial" w:hAnsi="Arial" w:cs="Arial"/>
          <w:sz w:val="20"/>
          <w:szCs w:val="20"/>
          <w:lang w:val="fr-FR"/>
        </w:rPr>
        <w:t>recours</w:t>
      </w:r>
      <w:r w:rsidR="00F330B6" w:rsidRPr="00933522">
        <w:rPr>
          <w:rFonts w:ascii="Arial" w:hAnsi="Arial" w:cs="Arial"/>
          <w:sz w:val="20"/>
          <w:szCs w:val="20"/>
          <w:lang w:val="fr-FR"/>
        </w:rPr>
        <w:t xml:space="preserve"> concerné</w:t>
      </w:r>
      <w:r w:rsidRPr="00933522">
        <w:rPr>
          <w:rFonts w:ascii="Arial" w:hAnsi="Arial" w:cs="Arial"/>
          <w:sz w:val="20"/>
          <w:szCs w:val="20"/>
          <w:lang w:val="fr-FR"/>
        </w:rPr>
        <w:t xml:space="preserve">. </w:t>
      </w:r>
    </w:p>
  </w:footnote>
  <w:footnote w:id="5">
    <w:p w14:paraId="3A433B68" w14:textId="3749D9FD" w:rsidR="00FA40F7" w:rsidRPr="00F33A82" w:rsidRDefault="00FA40F7">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F33A82">
        <w:rPr>
          <w:rFonts w:ascii="Arial" w:hAnsi="Arial" w:cs="Arial"/>
          <w:sz w:val="20"/>
          <w:szCs w:val="20"/>
          <w:lang w:val="fr-FR"/>
        </w:rPr>
        <w:t xml:space="preserve"> Voir Communication 409/12 </w:t>
      </w:r>
      <w:r w:rsidRPr="00F33A82">
        <w:rPr>
          <w:rFonts w:ascii="Arial" w:hAnsi="Arial" w:cs="Arial"/>
          <w:i/>
          <w:sz w:val="20"/>
          <w:szCs w:val="20"/>
          <w:lang w:val="fr-FR"/>
        </w:rPr>
        <w:t xml:space="preserve">Luke </w:t>
      </w:r>
      <w:proofErr w:type="spellStart"/>
      <w:r w:rsidRPr="00F33A82">
        <w:rPr>
          <w:rFonts w:ascii="Arial" w:hAnsi="Arial" w:cs="Arial"/>
          <w:i/>
          <w:sz w:val="20"/>
          <w:szCs w:val="20"/>
          <w:lang w:val="fr-FR"/>
        </w:rPr>
        <w:t>Munyandu</w:t>
      </w:r>
      <w:proofErr w:type="spellEnd"/>
      <w:r w:rsidRPr="00F33A82">
        <w:rPr>
          <w:rFonts w:ascii="Arial" w:hAnsi="Arial" w:cs="Arial"/>
          <w:i/>
          <w:sz w:val="20"/>
          <w:szCs w:val="20"/>
          <w:lang w:val="fr-FR"/>
        </w:rPr>
        <w:t xml:space="preserve"> </w:t>
      </w:r>
      <w:proofErr w:type="spellStart"/>
      <w:r w:rsidRPr="00F33A82">
        <w:rPr>
          <w:rFonts w:ascii="Arial" w:hAnsi="Arial" w:cs="Arial"/>
          <w:i/>
          <w:sz w:val="20"/>
          <w:szCs w:val="20"/>
          <w:lang w:val="fr-FR"/>
        </w:rPr>
        <w:t>Tembani</w:t>
      </w:r>
      <w:proofErr w:type="spellEnd"/>
      <w:r w:rsidRPr="00F33A82">
        <w:rPr>
          <w:rFonts w:ascii="Arial" w:hAnsi="Arial" w:cs="Arial"/>
          <w:i/>
          <w:sz w:val="20"/>
          <w:szCs w:val="20"/>
          <w:lang w:val="fr-FR"/>
        </w:rPr>
        <w:t xml:space="preserve"> et Benjamin John </w:t>
      </w:r>
      <w:proofErr w:type="spellStart"/>
      <w:r w:rsidRPr="00F33A82">
        <w:rPr>
          <w:rFonts w:ascii="Arial" w:hAnsi="Arial" w:cs="Arial"/>
          <w:i/>
          <w:sz w:val="20"/>
          <w:szCs w:val="20"/>
          <w:lang w:val="fr-FR"/>
        </w:rPr>
        <w:t>Freeth</w:t>
      </w:r>
      <w:proofErr w:type="spellEnd"/>
      <w:r w:rsidRPr="00F33A82">
        <w:rPr>
          <w:rFonts w:ascii="Arial" w:hAnsi="Arial" w:cs="Arial"/>
          <w:i/>
          <w:sz w:val="20"/>
          <w:szCs w:val="20"/>
          <w:lang w:val="fr-FR"/>
        </w:rPr>
        <w:t xml:space="preserve"> (représentés by Norman </w:t>
      </w:r>
      <w:proofErr w:type="spellStart"/>
      <w:r w:rsidRPr="00F33A82">
        <w:rPr>
          <w:rFonts w:ascii="Arial" w:hAnsi="Arial" w:cs="Arial"/>
          <w:i/>
          <w:sz w:val="20"/>
          <w:szCs w:val="20"/>
          <w:lang w:val="fr-FR"/>
        </w:rPr>
        <w:t>Tjombe</w:t>
      </w:r>
      <w:proofErr w:type="spellEnd"/>
      <w:r w:rsidRPr="00F33A82">
        <w:rPr>
          <w:rFonts w:ascii="Arial" w:hAnsi="Arial" w:cs="Arial"/>
          <w:i/>
          <w:sz w:val="20"/>
          <w:szCs w:val="20"/>
          <w:lang w:val="fr-FR"/>
        </w:rPr>
        <w:t>) c. Angola et treize autres</w:t>
      </w:r>
      <w:r w:rsidRPr="00F33A82">
        <w:rPr>
          <w:rFonts w:ascii="Arial" w:hAnsi="Arial" w:cs="Arial"/>
          <w:sz w:val="20"/>
          <w:szCs w:val="20"/>
          <w:lang w:val="fr-FR"/>
        </w:rPr>
        <w:t xml:space="preserve"> (CADHP 2013) para. 112 ; Référence No 1/2007 </w:t>
      </w:r>
      <w:r w:rsidRPr="00F33A82">
        <w:rPr>
          <w:rFonts w:ascii="Arial" w:hAnsi="Arial" w:cs="Arial"/>
          <w:i/>
          <w:sz w:val="20"/>
          <w:szCs w:val="20"/>
          <w:lang w:val="fr-FR"/>
        </w:rPr>
        <w:t xml:space="preserve">James </w:t>
      </w:r>
      <w:proofErr w:type="spellStart"/>
      <w:r w:rsidRPr="00F33A82">
        <w:rPr>
          <w:rFonts w:ascii="Arial" w:hAnsi="Arial" w:cs="Arial"/>
          <w:i/>
          <w:sz w:val="20"/>
          <w:szCs w:val="20"/>
          <w:lang w:val="fr-FR"/>
        </w:rPr>
        <w:t>Katabazi</w:t>
      </w:r>
      <w:proofErr w:type="spellEnd"/>
      <w:r w:rsidRPr="00F33A82">
        <w:rPr>
          <w:rFonts w:ascii="Arial" w:hAnsi="Arial" w:cs="Arial"/>
          <w:i/>
          <w:sz w:val="20"/>
          <w:szCs w:val="20"/>
          <w:lang w:val="fr-FR"/>
        </w:rPr>
        <w:t xml:space="preserve"> et autres c. Secrétaire général de la Communauté d’Afrique de l’Est et un autre</w:t>
      </w:r>
      <w:r w:rsidRPr="00F33A82">
        <w:rPr>
          <w:rFonts w:ascii="Arial" w:hAnsi="Arial" w:cs="Arial"/>
          <w:sz w:val="20"/>
          <w:szCs w:val="20"/>
          <w:lang w:val="fr-FR"/>
        </w:rPr>
        <w:t xml:space="preserve"> (2007) AHRLR 119 (EAC 2007) paras. 30-32 ; Affaire 7920 Arrêt du 29 juillet 1988, </w:t>
      </w:r>
      <w:proofErr w:type="spellStart"/>
      <w:r w:rsidRPr="00F33A82">
        <w:rPr>
          <w:rFonts w:ascii="Arial" w:hAnsi="Arial" w:cs="Arial"/>
          <w:i/>
          <w:sz w:val="20"/>
          <w:szCs w:val="20"/>
          <w:lang w:val="fr-FR"/>
        </w:rPr>
        <w:t>Velásquez-Rodríguez</w:t>
      </w:r>
      <w:proofErr w:type="spellEnd"/>
      <w:r w:rsidRPr="00F33A82">
        <w:rPr>
          <w:rFonts w:ascii="Arial" w:hAnsi="Arial" w:cs="Arial"/>
          <w:i/>
          <w:sz w:val="20"/>
          <w:szCs w:val="20"/>
          <w:lang w:val="fr-FR"/>
        </w:rPr>
        <w:t xml:space="preserve"> c. Honduras </w:t>
      </w:r>
      <w:r w:rsidRPr="00F33A82">
        <w:rPr>
          <w:rFonts w:ascii="Arial" w:hAnsi="Arial" w:cs="Arial"/>
          <w:sz w:val="20"/>
          <w:szCs w:val="20"/>
          <w:lang w:val="fr-FR"/>
        </w:rPr>
        <w:t>CIADH para. 24(4) ; Application de la Convention pour la prévention et la répression du crime de génocide (</w:t>
      </w:r>
      <w:r w:rsidRPr="00F33A82">
        <w:rPr>
          <w:rFonts w:ascii="Arial" w:hAnsi="Arial" w:cs="Arial"/>
          <w:i/>
          <w:sz w:val="20"/>
          <w:szCs w:val="20"/>
          <w:lang w:val="fr-FR"/>
        </w:rPr>
        <w:t>Bosnie-Herzégovine c. Serbie-et-Monténégro</w:t>
      </w:r>
      <w:r w:rsidRPr="00F33A82">
        <w:rPr>
          <w:rFonts w:ascii="Arial" w:hAnsi="Arial" w:cs="Arial"/>
          <w:sz w:val="20"/>
          <w:szCs w:val="20"/>
          <w:lang w:val="fr-FR"/>
        </w:rPr>
        <w:t>) Arrêt du 26 février 2007, C.I.J., Recueil 2007, p. 43.</w:t>
      </w:r>
    </w:p>
  </w:footnote>
  <w:footnote w:id="6">
    <w:p w14:paraId="6DF91386" w14:textId="791CA5B9" w:rsidR="00FA40F7" w:rsidRPr="00F33A82" w:rsidRDefault="00FA40F7" w:rsidP="00A41723">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CE5B6C">
        <w:rPr>
          <w:rFonts w:ascii="Arial" w:hAnsi="Arial" w:cs="Arial"/>
          <w:sz w:val="20"/>
          <w:szCs w:val="20"/>
          <w:lang w:val="fr-FR"/>
        </w:rPr>
        <w:t xml:space="preserve"> </w:t>
      </w:r>
      <w:r w:rsidRPr="00CE5B6C">
        <w:rPr>
          <w:rFonts w:ascii="Arial" w:hAnsi="Arial" w:cs="Arial"/>
          <w:i/>
          <w:sz w:val="20"/>
          <w:szCs w:val="20"/>
          <w:lang w:val="fr-FR"/>
        </w:rPr>
        <w:t>Société AGRILAND c. Etat de Côte d’Ivoire</w:t>
      </w:r>
      <w:r w:rsidRPr="00CE5B6C">
        <w:rPr>
          <w:rFonts w:ascii="Arial" w:hAnsi="Arial" w:cs="Arial"/>
          <w:sz w:val="20"/>
          <w:szCs w:val="20"/>
          <w:lang w:val="fr-FR"/>
        </w:rPr>
        <w:t xml:space="preserve">, </w:t>
      </w:r>
      <w:r w:rsidRPr="00F33A82">
        <w:rPr>
          <w:rFonts w:ascii="Arial" w:hAnsi="Arial" w:cs="Arial"/>
          <w:sz w:val="20"/>
          <w:szCs w:val="20"/>
          <w:lang w:val="fr-FR"/>
        </w:rPr>
        <w:t>Arrêt No ECW/CCJ/JUD du 24 avril 2015, paras. 36-39.</w:t>
      </w:r>
    </w:p>
  </w:footnote>
  <w:footnote w:id="7">
    <w:p w14:paraId="1029F6A6" w14:textId="72F40E72" w:rsidR="00FA40F7" w:rsidRPr="00F33A82" w:rsidRDefault="00FA40F7" w:rsidP="00A41723">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F33A82">
        <w:rPr>
          <w:rFonts w:ascii="Arial" w:hAnsi="Arial" w:cs="Arial"/>
          <w:sz w:val="20"/>
          <w:szCs w:val="20"/>
        </w:rPr>
        <w:t xml:space="preserve"> </w:t>
      </w:r>
      <w:proofErr w:type="gramStart"/>
      <w:r w:rsidRPr="00F33A82">
        <w:rPr>
          <w:rFonts w:ascii="Arial" w:hAnsi="Arial" w:cs="Arial"/>
          <w:i/>
          <w:sz w:val="20"/>
          <w:szCs w:val="20"/>
        </w:rPr>
        <w:t>Idem</w:t>
      </w:r>
      <w:r w:rsidRPr="00F33A82">
        <w:rPr>
          <w:rFonts w:ascii="Arial" w:hAnsi="Arial" w:cs="Arial"/>
          <w:sz w:val="20"/>
          <w:szCs w:val="20"/>
        </w:rPr>
        <w:t>, paras.</w:t>
      </w:r>
      <w:proofErr w:type="gramEnd"/>
      <w:r w:rsidRPr="00F33A82">
        <w:rPr>
          <w:rFonts w:ascii="Arial" w:hAnsi="Arial" w:cs="Arial"/>
          <w:sz w:val="20"/>
          <w:szCs w:val="20"/>
        </w:rPr>
        <w:t xml:space="preserve"> </w:t>
      </w:r>
      <w:r w:rsidRPr="00F33A82">
        <w:rPr>
          <w:rFonts w:ascii="Arial" w:hAnsi="Arial" w:cs="Arial"/>
          <w:sz w:val="20"/>
          <w:szCs w:val="20"/>
          <w:lang w:val="fr-FR"/>
        </w:rPr>
        <w:t>40-47.</w:t>
      </w:r>
    </w:p>
  </w:footnote>
  <w:footnote w:id="8">
    <w:p w14:paraId="5C28E075" w14:textId="0591FC38" w:rsidR="00FA40F7" w:rsidRPr="00F33A82" w:rsidRDefault="00FA40F7" w:rsidP="00A41723">
      <w:pPr>
        <w:pStyle w:val="FootnoteText"/>
        <w:jc w:val="both"/>
        <w:rPr>
          <w:rFonts w:ascii="Arial" w:hAnsi="Arial" w:cs="Arial"/>
          <w:sz w:val="20"/>
          <w:szCs w:val="20"/>
          <w:lang w:val="fr-FR"/>
        </w:rPr>
      </w:pPr>
      <w:r w:rsidRPr="00F33A82">
        <w:rPr>
          <w:rStyle w:val="FootnoteReference"/>
          <w:rFonts w:ascii="Arial" w:hAnsi="Arial" w:cs="Arial"/>
          <w:sz w:val="20"/>
          <w:szCs w:val="20"/>
        </w:rPr>
        <w:footnoteRef/>
      </w:r>
      <w:r w:rsidRPr="00F33A82">
        <w:rPr>
          <w:rFonts w:ascii="Arial" w:hAnsi="Arial" w:cs="Arial"/>
          <w:sz w:val="20"/>
          <w:szCs w:val="20"/>
        </w:rPr>
        <w:t xml:space="preserve"> </w:t>
      </w:r>
      <w:proofErr w:type="gramStart"/>
      <w:r w:rsidRPr="00F33A82">
        <w:rPr>
          <w:rFonts w:ascii="Arial" w:hAnsi="Arial" w:cs="Arial"/>
          <w:i/>
          <w:sz w:val="20"/>
          <w:szCs w:val="20"/>
        </w:rPr>
        <w:t>Idem</w:t>
      </w:r>
      <w:r w:rsidRPr="00F33A82">
        <w:rPr>
          <w:rFonts w:ascii="Arial" w:hAnsi="Arial" w:cs="Arial"/>
          <w:sz w:val="20"/>
          <w:szCs w:val="20"/>
        </w:rPr>
        <w:t>, paras.</w:t>
      </w:r>
      <w:proofErr w:type="gramEnd"/>
      <w:r w:rsidRPr="00F33A82">
        <w:rPr>
          <w:rFonts w:ascii="Arial" w:hAnsi="Arial" w:cs="Arial"/>
          <w:sz w:val="20"/>
          <w:szCs w:val="20"/>
        </w:rPr>
        <w:t xml:space="preserve"> </w:t>
      </w:r>
      <w:r w:rsidRPr="00F33A82">
        <w:rPr>
          <w:rFonts w:ascii="Arial" w:hAnsi="Arial" w:cs="Arial"/>
          <w:sz w:val="20"/>
          <w:szCs w:val="20"/>
          <w:lang w:val="fr-FR"/>
        </w:rPr>
        <w:t>48-52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786A" w14:textId="54A618E6" w:rsidR="00FA40F7" w:rsidRPr="002003D3" w:rsidRDefault="00FA40F7" w:rsidP="00F33A82">
    <w:pPr>
      <w:pStyle w:val="Header"/>
      <w:jc w:val="right"/>
    </w:pPr>
    <w:r>
      <w:tab/>
    </w:r>
  </w:p>
  <w:p w14:paraId="25B74703" w14:textId="77777777" w:rsidR="00FA40F7" w:rsidRDefault="00FA40F7" w:rsidP="00D224FD">
    <w:pPr>
      <w:pStyle w:val="Header"/>
      <w:tabs>
        <w:tab w:val="clear" w:pos="4680"/>
        <w:tab w:val="clear" w:pos="9360"/>
        <w:tab w:val="left" w:pos="68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D4F"/>
    <w:multiLevelType w:val="hybridMultilevel"/>
    <w:tmpl w:val="B37C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80B"/>
    <w:multiLevelType w:val="hybridMultilevel"/>
    <w:tmpl w:val="24CE7C20"/>
    <w:lvl w:ilvl="0" w:tplc="178A73C4">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156C8"/>
    <w:multiLevelType w:val="hybridMultilevel"/>
    <w:tmpl w:val="C522495A"/>
    <w:lvl w:ilvl="0" w:tplc="89F06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D4FBF"/>
    <w:multiLevelType w:val="hybridMultilevel"/>
    <w:tmpl w:val="20CA44DE"/>
    <w:lvl w:ilvl="0" w:tplc="79A2C466">
      <w:start w:val="1"/>
      <w:numFmt w:val="lowerRoman"/>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E6313"/>
    <w:multiLevelType w:val="multilevel"/>
    <w:tmpl w:val="802211B4"/>
    <w:numStyleLink w:val="ImportedStyle1"/>
  </w:abstractNum>
  <w:abstractNum w:abstractNumId="5">
    <w:nsid w:val="11E10ABC"/>
    <w:multiLevelType w:val="hybridMultilevel"/>
    <w:tmpl w:val="AF7231AC"/>
    <w:lvl w:ilvl="0" w:tplc="525E58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F374E"/>
    <w:multiLevelType w:val="hybridMultilevel"/>
    <w:tmpl w:val="F9302B9A"/>
    <w:lvl w:ilvl="0" w:tplc="1F3C8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76A44"/>
    <w:multiLevelType w:val="hybridMultilevel"/>
    <w:tmpl w:val="570259D4"/>
    <w:lvl w:ilvl="0" w:tplc="9EC6ADA0">
      <w:start w:val="1"/>
      <w:numFmt w:val="upperLetter"/>
      <w:lvlText w:val="%1."/>
      <w:lvlJc w:val="left"/>
      <w:pPr>
        <w:ind w:left="1080" w:hanging="360"/>
      </w:pPr>
      <w:rPr>
        <w:rFonts w:hint="default"/>
        <w:color w:val="auto"/>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6A559EB"/>
    <w:multiLevelType w:val="hybridMultilevel"/>
    <w:tmpl w:val="283864C6"/>
    <w:lvl w:ilvl="0" w:tplc="568466C6">
      <w:start w:val="1"/>
      <w:numFmt w:val="lowerRoman"/>
      <w:lvlText w:val="(%1)"/>
      <w:lvlJc w:val="left"/>
      <w:pPr>
        <w:ind w:left="2520" w:hanging="720"/>
      </w:pPr>
      <w:rPr>
        <w:i/>
        <w:strike w:val="0"/>
        <w:dstrike w:val="0"/>
        <w:color w:val="auto"/>
        <w:u w:val="none"/>
        <w:effect w:val="none"/>
      </w:r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9">
    <w:nsid w:val="1AA61566"/>
    <w:multiLevelType w:val="hybridMultilevel"/>
    <w:tmpl w:val="C522495A"/>
    <w:lvl w:ilvl="0" w:tplc="89F06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01154"/>
    <w:multiLevelType w:val="hybridMultilevel"/>
    <w:tmpl w:val="0C4E7BDA"/>
    <w:lvl w:ilvl="0" w:tplc="92681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0305E"/>
    <w:multiLevelType w:val="hybridMultilevel"/>
    <w:tmpl w:val="B37C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E3A78"/>
    <w:multiLevelType w:val="hybridMultilevel"/>
    <w:tmpl w:val="802211B4"/>
    <w:styleLink w:val="ImportedStyle1"/>
    <w:lvl w:ilvl="0" w:tplc="ABAA22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838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EC35E">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ED02A">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187A9A">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499BA">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64373A">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7893D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7EF93C">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205B58"/>
    <w:multiLevelType w:val="multilevel"/>
    <w:tmpl w:val="38E04B5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HAnsi" w:hAnsi="Symbol" w:cstheme="minorBidi" w:hint="default"/>
      </w:rPr>
    </w:lvl>
    <w:lvl w:ilvl="2">
      <w:start w:val="1"/>
      <w:numFmt w:val="decimal"/>
      <w:lvlText w:val="%3."/>
      <w:lvlJc w:val="left"/>
      <w:pPr>
        <w:ind w:left="2160" w:hanging="360"/>
      </w:pPr>
      <w:rPr>
        <w:rFonts w:hint="default"/>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763752"/>
    <w:multiLevelType w:val="hybridMultilevel"/>
    <w:tmpl w:val="4B1A9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C7DC0"/>
    <w:multiLevelType w:val="hybridMultilevel"/>
    <w:tmpl w:val="5C6057BC"/>
    <w:lvl w:ilvl="0" w:tplc="2EAABEEE">
      <w:start w:val="1"/>
      <w:numFmt w:val="decimal"/>
      <w:lvlText w:val="%1."/>
      <w:lvlJc w:val="left"/>
      <w:pPr>
        <w:ind w:left="5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023C49"/>
    <w:multiLevelType w:val="hybridMultilevel"/>
    <w:tmpl w:val="EA706FCA"/>
    <w:lvl w:ilvl="0" w:tplc="73CCD4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1000A3"/>
    <w:multiLevelType w:val="hybridMultilevel"/>
    <w:tmpl w:val="6784C49E"/>
    <w:lvl w:ilvl="0" w:tplc="04D22D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D86B04"/>
    <w:multiLevelType w:val="hybridMultilevel"/>
    <w:tmpl w:val="B37C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63C81"/>
    <w:multiLevelType w:val="hybridMultilevel"/>
    <w:tmpl w:val="B4384038"/>
    <w:lvl w:ilvl="0" w:tplc="35263C30">
      <w:start w:val="1"/>
      <w:numFmt w:val="lowerRoman"/>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48115E"/>
    <w:multiLevelType w:val="hybridMultilevel"/>
    <w:tmpl w:val="837E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F2657"/>
    <w:multiLevelType w:val="hybridMultilevel"/>
    <w:tmpl w:val="B8646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12D11"/>
    <w:multiLevelType w:val="hybridMultilevel"/>
    <w:tmpl w:val="65864142"/>
    <w:lvl w:ilvl="0" w:tplc="D79ACB9C">
      <w:start w:val="1"/>
      <w:numFmt w:val="lowerRoman"/>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AC25A2"/>
    <w:multiLevelType w:val="hybridMultilevel"/>
    <w:tmpl w:val="C94ACE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71AD6"/>
    <w:multiLevelType w:val="hybridMultilevel"/>
    <w:tmpl w:val="4030D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15E2A"/>
    <w:multiLevelType w:val="hybridMultilevel"/>
    <w:tmpl w:val="D4A42D16"/>
    <w:lvl w:ilvl="0" w:tplc="178A73C4">
      <w:start w:val="1"/>
      <w:numFmt w:val="lowerRoman"/>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4860DB"/>
    <w:multiLevelType w:val="hybridMultilevel"/>
    <w:tmpl w:val="3FE82094"/>
    <w:lvl w:ilvl="0" w:tplc="D8D637CE">
      <w:start w:val="8"/>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75892"/>
    <w:multiLevelType w:val="hybridMultilevel"/>
    <w:tmpl w:val="1EA884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9D71C9"/>
    <w:multiLevelType w:val="hybridMultilevel"/>
    <w:tmpl w:val="E0F6F23C"/>
    <w:lvl w:ilvl="0" w:tplc="6982FC20">
      <w:start w:val="12"/>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4626A"/>
    <w:multiLevelType w:val="hybridMultilevel"/>
    <w:tmpl w:val="391EA6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781745"/>
    <w:multiLevelType w:val="hybridMultilevel"/>
    <w:tmpl w:val="BE44C7B2"/>
    <w:lvl w:ilvl="0" w:tplc="04090017">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A43E6"/>
    <w:multiLevelType w:val="hybridMultilevel"/>
    <w:tmpl w:val="F1F25E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7136682E"/>
    <w:multiLevelType w:val="hybridMultilevel"/>
    <w:tmpl w:val="6874B616"/>
    <w:lvl w:ilvl="0" w:tplc="8D626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2F148B8"/>
    <w:multiLevelType w:val="hybridMultilevel"/>
    <w:tmpl w:val="FB00B8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401984"/>
    <w:multiLevelType w:val="hybridMultilevel"/>
    <w:tmpl w:val="6876ECBC"/>
    <w:lvl w:ilvl="0" w:tplc="8828D8D8">
      <w:start w:val="1"/>
      <w:numFmt w:val="decimal"/>
      <w:lvlText w:val="%1."/>
      <w:lvlJc w:val="left"/>
      <w:pPr>
        <w:ind w:left="720" w:hanging="360"/>
      </w:pPr>
      <w:rPr>
        <w:rFonts w:hint="default"/>
        <w:b w:val="0"/>
        <w:i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C3B45E6"/>
    <w:multiLevelType w:val="hybridMultilevel"/>
    <w:tmpl w:val="B1B28B90"/>
    <w:lvl w:ilvl="0" w:tplc="6082BB72">
      <w:start w:val="1"/>
      <w:numFmt w:val="bullet"/>
      <w:lvlText w:val="-"/>
      <w:lvlJc w:val="left"/>
      <w:pPr>
        <w:ind w:left="1080" w:hanging="360"/>
      </w:pPr>
      <w:rPr>
        <w:rFonts w:ascii="Cambria" w:eastAsiaTheme="minorEastAsia" w:hAnsi="Cambria"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C4C4D48"/>
    <w:multiLevelType w:val="hybridMultilevel"/>
    <w:tmpl w:val="2340A2C2"/>
    <w:lvl w:ilvl="0" w:tplc="57560C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4"/>
  </w:num>
  <w:num w:numId="3">
    <w:abstractNumId w:val="0"/>
  </w:num>
  <w:num w:numId="4">
    <w:abstractNumId w:val="25"/>
  </w:num>
  <w:num w:numId="5">
    <w:abstractNumId w:val="35"/>
  </w:num>
  <w:num w:numId="6">
    <w:abstractNumId w:val="12"/>
  </w:num>
  <w:num w:numId="7">
    <w:abstractNumId w:val="4"/>
  </w:num>
  <w:num w:numId="8">
    <w:abstractNumId w:val="10"/>
  </w:num>
  <w:num w:numId="9">
    <w:abstractNumId w:val="29"/>
  </w:num>
  <w:num w:numId="10">
    <w:abstractNumId w:val="2"/>
  </w:num>
  <w:num w:numId="11">
    <w:abstractNumId w:val="18"/>
  </w:num>
  <w:num w:numId="12">
    <w:abstractNumId w:val="11"/>
  </w:num>
  <w:num w:numId="13">
    <w:abstractNumId w:val="9"/>
  </w:num>
  <w:num w:numId="14">
    <w:abstractNumId w:val="13"/>
  </w:num>
  <w:num w:numId="15">
    <w:abstractNumId w:val="36"/>
  </w:num>
  <w:num w:numId="16">
    <w:abstractNumId w:val="14"/>
  </w:num>
  <w:num w:numId="17">
    <w:abstractNumId w:val="5"/>
  </w:num>
  <w:num w:numId="18">
    <w:abstractNumId w:val="20"/>
  </w:num>
  <w:num w:numId="19">
    <w:abstractNumId w:val="16"/>
  </w:num>
  <w:num w:numId="20">
    <w:abstractNumId w:val="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6"/>
  </w:num>
  <w:num w:numId="26">
    <w:abstractNumId w:val="2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7"/>
  </w:num>
  <w:num w:numId="30">
    <w:abstractNumId w:val="21"/>
  </w:num>
  <w:num w:numId="31">
    <w:abstractNumId w:val="28"/>
  </w:num>
  <w:num w:numId="32">
    <w:abstractNumId w:val="30"/>
  </w:num>
  <w:num w:numId="33">
    <w:abstractNumId w:val="23"/>
  </w:num>
  <w:num w:numId="34">
    <w:abstractNumId w:val="1"/>
  </w:num>
  <w:num w:numId="35">
    <w:abstractNumId w:val="17"/>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59"/>
    <w:rsid w:val="00002F81"/>
    <w:rsid w:val="00004AC4"/>
    <w:rsid w:val="00010BD6"/>
    <w:rsid w:val="0001354A"/>
    <w:rsid w:val="00013AAA"/>
    <w:rsid w:val="00020033"/>
    <w:rsid w:val="0002023B"/>
    <w:rsid w:val="00022453"/>
    <w:rsid w:val="0002246D"/>
    <w:rsid w:val="00022C9F"/>
    <w:rsid w:val="00025E7D"/>
    <w:rsid w:val="000260B6"/>
    <w:rsid w:val="00034D52"/>
    <w:rsid w:val="00041DDA"/>
    <w:rsid w:val="0004349E"/>
    <w:rsid w:val="000439F1"/>
    <w:rsid w:val="0004535F"/>
    <w:rsid w:val="00054DFF"/>
    <w:rsid w:val="000550FE"/>
    <w:rsid w:val="000653D6"/>
    <w:rsid w:val="00066252"/>
    <w:rsid w:val="00071EB4"/>
    <w:rsid w:val="00072D84"/>
    <w:rsid w:val="00074DA9"/>
    <w:rsid w:val="00077E23"/>
    <w:rsid w:val="00086280"/>
    <w:rsid w:val="0009023A"/>
    <w:rsid w:val="00091028"/>
    <w:rsid w:val="00092AB4"/>
    <w:rsid w:val="0009308A"/>
    <w:rsid w:val="00096F36"/>
    <w:rsid w:val="000A3578"/>
    <w:rsid w:val="000A35BC"/>
    <w:rsid w:val="000A66D0"/>
    <w:rsid w:val="000B5921"/>
    <w:rsid w:val="000C7E0C"/>
    <w:rsid w:val="000E1071"/>
    <w:rsid w:val="000E1283"/>
    <w:rsid w:val="000E5DBC"/>
    <w:rsid w:val="000F3DA1"/>
    <w:rsid w:val="000F4005"/>
    <w:rsid w:val="000F4EE7"/>
    <w:rsid w:val="000F6CF2"/>
    <w:rsid w:val="00100DE0"/>
    <w:rsid w:val="001026AE"/>
    <w:rsid w:val="00102DE6"/>
    <w:rsid w:val="0010370A"/>
    <w:rsid w:val="00104414"/>
    <w:rsid w:val="0011083C"/>
    <w:rsid w:val="00112F01"/>
    <w:rsid w:val="00114C97"/>
    <w:rsid w:val="00115F88"/>
    <w:rsid w:val="00121198"/>
    <w:rsid w:val="001211CD"/>
    <w:rsid w:val="00122031"/>
    <w:rsid w:val="00123269"/>
    <w:rsid w:val="00125A0B"/>
    <w:rsid w:val="001278D5"/>
    <w:rsid w:val="00131F5D"/>
    <w:rsid w:val="00133811"/>
    <w:rsid w:val="0014015D"/>
    <w:rsid w:val="001409E1"/>
    <w:rsid w:val="00144EF8"/>
    <w:rsid w:val="0015583C"/>
    <w:rsid w:val="00155FCD"/>
    <w:rsid w:val="00156299"/>
    <w:rsid w:val="00157FEA"/>
    <w:rsid w:val="00162274"/>
    <w:rsid w:val="001628F4"/>
    <w:rsid w:val="001742A9"/>
    <w:rsid w:val="001754BE"/>
    <w:rsid w:val="001771A4"/>
    <w:rsid w:val="00177518"/>
    <w:rsid w:val="00181772"/>
    <w:rsid w:val="00185604"/>
    <w:rsid w:val="00190DBE"/>
    <w:rsid w:val="0019321A"/>
    <w:rsid w:val="00196DB5"/>
    <w:rsid w:val="0019738E"/>
    <w:rsid w:val="001A35C0"/>
    <w:rsid w:val="001A42F6"/>
    <w:rsid w:val="001B08CA"/>
    <w:rsid w:val="001B1F27"/>
    <w:rsid w:val="001B2367"/>
    <w:rsid w:val="001B2B2C"/>
    <w:rsid w:val="001B7375"/>
    <w:rsid w:val="001B7879"/>
    <w:rsid w:val="001C660B"/>
    <w:rsid w:val="001C7665"/>
    <w:rsid w:val="001D1BAF"/>
    <w:rsid w:val="001D4343"/>
    <w:rsid w:val="001E1447"/>
    <w:rsid w:val="001E204F"/>
    <w:rsid w:val="001F1033"/>
    <w:rsid w:val="001F2CAB"/>
    <w:rsid w:val="001F5A2E"/>
    <w:rsid w:val="001F66FC"/>
    <w:rsid w:val="002006D1"/>
    <w:rsid w:val="0020471F"/>
    <w:rsid w:val="00204E86"/>
    <w:rsid w:val="00207050"/>
    <w:rsid w:val="00213AE6"/>
    <w:rsid w:val="002173B6"/>
    <w:rsid w:val="002206DA"/>
    <w:rsid w:val="002260B8"/>
    <w:rsid w:val="00226119"/>
    <w:rsid w:val="00243AEF"/>
    <w:rsid w:val="00245113"/>
    <w:rsid w:val="002525E5"/>
    <w:rsid w:val="00253475"/>
    <w:rsid w:val="00261464"/>
    <w:rsid w:val="002635F8"/>
    <w:rsid w:val="0026485E"/>
    <w:rsid w:val="00267910"/>
    <w:rsid w:val="00267F73"/>
    <w:rsid w:val="00272B9C"/>
    <w:rsid w:val="002736E9"/>
    <w:rsid w:val="0027729D"/>
    <w:rsid w:val="00281F8E"/>
    <w:rsid w:val="00284C71"/>
    <w:rsid w:val="00287612"/>
    <w:rsid w:val="002904D5"/>
    <w:rsid w:val="00290E63"/>
    <w:rsid w:val="00296947"/>
    <w:rsid w:val="002972CD"/>
    <w:rsid w:val="00297F94"/>
    <w:rsid w:val="002A02D7"/>
    <w:rsid w:val="002A66B1"/>
    <w:rsid w:val="002B1D0D"/>
    <w:rsid w:val="002B6CFD"/>
    <w:rsid w:val="002C3BF5"/>
    <w:rsid w:val="002D1427"/>
    <w:rsid w:val="002D1D7E"/>
    <w:rsid w:val="002D2B02"/>
    <w:rsid w:val="002D5C7C"/>
    <w:rsid w:val="002E09ED"/>
    <w:rsid w:val="002E0DC9"/>
    <w:rsid w:val="002E5939"/>
    <w:rsid w:val="002F0421"/>
    <w:rsid w:val="002F1917"/>
    <w:rsid w:val="002F3CE5"/>
    <w:rsid w:val="002F7468"/>
    <w:rsid w:val="00301F68"/>
    <w:rsid w:val="00303F69"/>
    <w:rsid w:val="003052CC"/>
    <w:rsid w:val="00311044"/>
    <w:rsid w:val="00315EBC"/>
    <w:rsid w:val="00317B51"/>
    <w:rsid w:val="00317CA2"/>
    <w:rsid w:val="00327E65"/>
    <w:rsid w:val="0033062D"/>
    <w:rsid w:val="00330892"/>
    <w:rsid w:val="00330E74"/>
    <w:rsid w:val="00332B22"/>
    <w:rsid w:val="00332DBA"/>
    <w:rsid w:val="0033490D"/>
    <w:rsid w:val="00343BBC"/>
    <w:rsid w:val="00345BD0"/>
    <w:rsid w:val="00350C4B"/>
    <w:rsid w:val="00353199"/>
    <w:rsid w:val="00355E84"/>
    <w:rsid w:val="00356A56"/>
    <w:rsid w:val="00365844"/>
    <w:rsid w:val="00372AE8"/>
    <w:rsid w:val="00377133"/>
    <w:rsid w:val="00380880"/>
    <w:rsid w:val="00382E75"/>
    <w:rsid w:val="00384939"/>
    <w:rsid w:val="00391398"/>
    <w:rsid w:val="003933C5"/>
    <w:rsid w:val="00394629"/>
    <w:rsid w:val="003A1C16"/>
    <w:rsid w:val="003A2F7B"/>
    <w:rsid w:val="003A54D7"/>
    <w:rsid w:val="003B00AE"/>
    <w:rsid w:val="003B039A"/>
    <w:rsid w:val="003B05AB"/>
    <w:rsid w:val="003C2354"/>
    <w:rsid w:val="003C3461"/>
    <w:rsid w:val="003C3EBD"/>
    <w:rsid w:val="003C4AC2"/>
    <w:rsid w:val="003C72AD"/>
    <w:rsid w:val="003D4900"/>
    <w:rsid w:val="003E1EAF"/>
    <w:rsid w:val="003F0250"/>
    <w:rsid w:val="003F46CA"/>
    <w:rsid w:val="003F7C5B"/>
    <w:rsid w:val="0040260B"/>
    <w:rsid w:val="00403084"/>
    <w:rsid w:val="004056BF"/>
    <w:rsid w:val="004124A1"/>
    <w:rsid w:val="004150B5"/>
    <w:rsid w:val="0041655B"/>
    <w:rsid w:val="00420EA6"/>
    <w:rsid w:val="00433AC2"/>
    <w:rsid w:val="00435499"/>
    <w:rsid w:val="004364BC"/>
    <w:rsid w:val="00437F74"/>
    <w:rsid w:val="00440001"/>
    <w:rsid w:val="00440490"/>
    <w:rsid w:val="00445D9D"/>
    <w:rsid w:val="00450716"/>
    <w:rsid w:val="00451C42"/>
    <w:rsid w:val="00457072"/>
    <w:rsid w:val="0046107B"/>
    <w:rsid w:val="00461B18"/>
    <w:rsid w:val="004647E9"/>
    <w:rsid w:val="00464B93"/>
    <w:rsid w:val="00483279"/>
    <w:rsid w:val="004847AC"/>
    <w:rsid w:val="00487660"/>
    <w:rsid w:val="00494A89"/>
    <w:rsid w:val="0049712F"/>
    <w:rsid w:val="0049758E"/>
    <w:rsid w:val="004A366B"/>
    <w:rsid w:val="004A432F"/>
    <w:rsid w:val="004A5DEB"/>
    <w:rsid w:val="004B07FE"/>
    <w:rsid w:val="004C02F3"/>
    <w:rsid w:val="004C1300"/>
    <w:rsid w:val="004C33DE"/>
    <w:rsid w:val="004C66A7"/>
    <w:rsid w:val="004D17BC"/>
    <w:rsid w:val="004D3942"/>
    <w:rsid w:val="004E24F5"/>
    <w:rsid w:val="004E6F9E"/>
    <w:rsid w:val="004F4D82"/>
    <w:rsid w:val="004F5012"/>
    <w:rsid w:val="004F727F"/>
    <w:rsid w:val="0050297C"/>
    <w:rsid w:val="005236D5"/>
    <w:rsid w:val="00531ED1"/>
    <w:rsid w:val="005335D6"/>
    <w:rsid w:val="00534D7D"/>
    <w:rsid w:val="00537624"/>
    <w:rsid w:val="005433BC"/>
    <w:rsid w:val="00545A68"/>
    <w:rsid w:val="00551FA7"/>
    <w:rsid w:val="00553B6A"/>
    <w:rsid w:val="00557DEE"/>
    <w:rsid w:val="005627A3"/>
    <w:rsid w:val="00563CDC"/>
    <w:rsid w:val="00567AA9"/>
    <w:rsid w:val="00570F49"/>
    <w:rsid w:val="00577E5B"/>
    <w:rsid w:val="0058108F"/>
    <w:rsid w:val="0058378A"/>
    <w:rsid w:val="00586737"/>
    <w:rsid w:val="00587733"/>
    <w:rsid w:val="00591EB6"/>
    <w:rsid w:val="00592369"/>
    <w:rsid w:val="005929E9"/>
    <w:rsid w:val="00596518"/>
    <w:rsid w:val="0059769E"/>
    <w:rsid w:val="005A10DB"/>
    <w:rsid w:val="005A31A4"/>
    <w:rsid w:val="005A3308"/>
    <w:rsid w:val="005B0E79"/>
    <w:rsid w:val="005B5DE4"/>
    <w:rsid w:val="005B6A37"/>
    <w:rsid w:val="005B7043"/>
    <w:rsid w:val="005C0766"/>
    <w:rsid w:val="005C2EBC"/>
    <w:rsid w:val="005E0123"/>
    <w:rsid w:val="005E1236"/>
    <w:rsid w:val="005E6A90"/>
    <w:rsid w:val="005F1640"/>
    <w:rsid w:val="005F4D2F"/>
    <w:rsid w:val="005F55DD"/>
    <w:rsid w:val="005F59D4"/>
    <w:rsid w:val="00601A7F"/>
    <w:rsid w:val="00603760"/>
    <w:rsid w:val="00603C27"/>
    <w:rsid w:val="00606288"/>
    <w:rsid w:val="00606609"/>
    <w:rsid w:val="0060690C"/>
    <w:rsid w:val="00606A53"/>
    <w:rsid w:val="006110BB"/>
    <w:rsid w:val="00614CE8"/>
    <w:rsid w:val="00620566"/>
    <w:rsid w:val="00621481"/>
    <w:rsid w:val="00623063"/>
    <w:rsid w:val="00623841"/>
    <w:rsid w:val="0062385E"/>
    <w:rsid w:val="00624F05"/>
    <w:rsid w:val="00625E1C"/>
    <w:rsid w:val="006305FA"/>
    <w:rsid w:val="006337E3"/>
    <w:rsid w:val="00634831"/>
    <w:rsid w:val="00634FC7"/>
    <w:rsid w:val="00637D57"/>
    <w:rsid w:val="00640D79"/>
    <w:rsid w:val="006511F6"/>
    <w:rsid w:val="00651440"/>
    <w:rsid w:val="00652223"/>
    <w:rsid w:val="00660C5C"/>
    <w:rsid w:val="006704F4"/>
    <w:rsid w:val="00671CE7"/>
    <w:rsid w:val="0067292D"/>
    <w:rsid w:val="00676330"/>
    <w:rsid w:val="0067717D"/>
    <w:rsid w:val="0068340B"/>
    <w:rsid w:val="006873CA"/>
    <w:rsid w:val="0069155D"/>
    <w:rsid w:val="00692562"/>
    <w:rsid w:val="00693909"/>
    <w:rsid w:val="006A2601"/>
    <w:rsid w:val="006A2A7E"/>
    <w:rsid w:val="006A72E0"/>
    <w:rsid w:val="006C009D"/>
    <w:rsid w:val="006C0721"/>
    <w:rsid w:val="006C2725"/>
    <w:rsid w:val="006C4D64"/>
    <w:rsid w:val="006C56CF"/>
    <w:rsid w:val="006C68F8"/>
    <w:rsid w:val="006D113C"/>
    <w:rsid w:val="006D4B21"/>
    <w:rsid w:val="006E0C0A"/>
    <w:rsid w:val="006E6AD7"/>
    <w:rsid w:val="006F3CD7"/>
    <w:rsid w:val="00702C1A"/>
    <w:rsid w:val="00704D05"/>
    <w:rsid w:val="007123CE"/>
    <w:rsid w:val="00714278"/>
    <w:rsid w:val="0072031D"/>
    <w:rsid w:val="00722339"/>
    <w:rsid w:val="00724C06"/>
    <w:rsid w:val="00727D56"/>
    <w:rsid w:val="00737B55"/>
    <w:rsid w:val="00741FE3"/>
    <w:rsid w:val="0074476E"/>
    <w:rsid w:val="00746A87"/>
    <w:rsid w:val="0075265A"/>
    <w:rsid w:val="00753022"/>
    <w:rsid w:val="00755FEC"/>
    <w:rsid w:val="00756E48"/>
    <w:rsid w:val="00763778"/>
    <w:rsid w:val="00766BAF"/>
    <w:rsid w:val="007677DE"/>
    <w:rsid w:val="007801C9"/>
    <w:rsid w:val="00783527"/>
    <w:rsid w:val="0078452B"/>
    <w:rsid w:val="00795831"/>
    <w:rsid w:val="007B2A0E"/>
    <w:rsid w:val="007B2C5B"/>
    <w:rsid w:val="007B3E58"/>
    <w:rsid w:val="007B44AF"/>
    <w:rsid w:val="007B4A0E"/>
    <w:rsid w:val="007B573A"/>
    <w:rsid w:val="007B5A27"/>
    <w:rsid w:val="007C1015"/>
    <w:rsid w:val="007C2B1E"/>
    <w:rsid w:val="007C5DB9"/>
    <w:rsid w:val="007C7FF3"/>
    <w:rsid w:val="007D058E"/>
    <w:rsid w:val="007D3583"/>
    <w:rsid w:val="007D5DC2"/>
    <w:rsid w:val="007E0CFD"/>
    <w:rsid w:val="007E2E96"/>
    <w:rsid w:val="007E32CC"/>
    <w:rsid w:val="007E7860"/>
    <w:rsid w:val="007F128B"/>
    <w:rsid w:val="007F1A4C"/>
    <w:rsid w:val="008024A7"/>
    <w:rsid w:val="00802A38"/>
    <w:rsid w:val="008127CF"/>
    <w:rsid w:val="00817619"/>
    <w:rsid w:val="0082112F"/>
    <w:rsid w:val="00823800"/>
    <w:rsid w:val="00825745"/>
    <w:rsid w:val="00826878"/>
    <w:rsid w:val="00833A16"/>
    <w:rsid w:val="00843C2B"/>
    <w:rsid w:val="00847A47"/>
    <w:rsid w:val="00853106"/>
    <w:rsid w:val="0085750B"/>
    <w:rsid w:val="00861D66"/>
    <w:rsid w:val="008677C4"/>
    <w:rsid w:val="0088685D"/>
    <w:rsid w:val="00891239"/>
    <w:rsid w:val="00894011"/>
    <w:rsid w:val="008A218A"/>
    <w:rsid w:val="008A4C35"/>
    <w:rsid w:val="008A61C4"/>
    <w:rsid w:val="008A7F38"/>
    <w:rsid w:val="008B7FA8"/>
    <w:rsid w:val="008C1664"/>
    <w:rsid w:val="008C22B3"/>
    <w:rsid w:val="008C237A"/>
    <w:rsid w:val="008C58EB"/>
    <w:rsid w:val="008D2EBF"/>
    <w:rsid w:val="008D43BE"/>
    <w:rsid w:val="008D4A41"/>
    <w:rsid w:val="008D7B42"/>
    <w:rsid w:val="008E11BD"/>
    <w:rsid w:val="008E128F"/>
    <w:rsid w:val="008E69C0"/>
    <w:rsid w:val="008F23F6"/>
    <w:rsid w:val="008F3EE3"/>
    <w:rsid w:val="008F4093"/>
    <w:rsid w:val="008F479B"/>
    <w:rsid w:val="00907CD5"/>
    <w:rsid w:val="00916462"/>
    <w:rsid w:val="00916CCC"/>
    <w:rsid w:val="00917627"/>
    <w:rsid w:val="0091775A"/>
    <w:rsid w:val="00920E80"/>
    <w:rsid w:val="009226F0"/>
    <w:rsid w:val="00924231"/>
    <w:rsid w:val="00933522"/>
    <w:rsid w:val="00945680"/>
    <w:rsid w:val="00950B71"/>
    <w:rsid w:val="0095271F"/>
    <w:rsid w:val="0095412E"/>
    <w:rsid w:val="009608AD"/>
    <w:rsid w:val="00970975"/>
    <w:rsid w:val="0097624D"/>
    <w:rsid w:val="00977406"/>
    <w:rsid w:val="0098566B"/>
    <w:rsid w:val="00986243"/>
    <w:rsid w:val="0098636B"/>
    <w:rsid w:val="009923C4"/>
    <w:rsid w:val="00995056"/>
    <w:rsid w:val="00996038"/>
    <w:rsid w:val="0099794C"/>
    <w:rsid w:val="009B035F"/>
    <w:rsid w:val="009B15EA"/>
    <w:rsid w:val="009B56EE"/>
    <w:rsid w:val="009B70F7"/>
    <w:rsid w:val="009C0AB9"/>
    <w:rsid w:val="009C4E46"/>
    <w:rsid w:val="009C61C4"/>
    <w:rsid w:val="009D4DC6"/>
    <w:rsid w:val="009E3955"/>
    <w:rsid w:val="009E573E"/>
    <w:rsid w:val="009E69D6"/>
    <w:rsid w:val="009E7302"/>
    <w:rsid w:val="009F4E78"/>
    <w:rsid w:val="009F530D"/>
    <w:rsid w:val="00A00405"/>
    <w:rsid w:val="00A0421C"/>
    <w:rsid w:val="00A0672A"/>
    <w:rsid w:val="00A07B04"/>
    <w:rsid w:val="00A23A6C"/>
    <w:rsid w:val="00A24C90"/>
    <w:rsid w:val="00A41723"/>
    <w:rsid w:val="00A43EB6"/>
    <w:rsid w:val="00A50217"/>
    <w:rsid w:val="00A53672"/>
    <w:rsid w:val="00A5593E"/>
    <w:rsid w:val="00A572A6"/>
    <w:rsid w:val="00A57DEB"/>
    <w:rsid w:val="00A61406"/>
    <w:rsid w:val="00A61A46"/>
    <w:rsid w:val="00A67F8A"/>
    <w:rsid w:val="00A719D9"/>
    <w:rsid w:val="00A73F6D"/>
    <w:rsid w:val="00A82A86"/>
    <w:rsid w:val="00A849B2"/>
    <w:rsid w:val="00A86B93"/>
    <w:rsid w:val="00A91455"/>
    <w:rsid w:val="00A975C3"/>
    <w:rsid w:val="00A97909"/>
    <w:rsid w:val="00AA2C1C"/>
    <w:rsid w:val="00AA6E91"/>
    <w:rsid w:val="00AB44F1"/>
    <w:rsid w:val="00AB5096"/>
    <w:rsid w:val="00AC2C04"/>
    <w:rsid w:val="00AD71C2"/>
    <w:rsid w:val="00AE1459"/>
    <w:rsid w:val="00AE2267"/>
    <w:rsid w:val="00AF0C74"/>
    <w:rsid w:val="00AF1BF1"/>
    <w:rsid w:val="00B00D3D"/>
    <w:rsid w:val="00B0546C"/>
    <w:rsid w:val="00B066D3"/>
    <w:rsid w:val="00B15189"/>
    <w:rsid w:val="00B24F64"/>
    <w:rsid w:val="00B31B94"/>
    <w:rsid w:val="00B35436"/>
    <w:rsid w:val="00B36066"/>
    <w:rsid w:val="00B36B98"/>
    <w:rsid w:val="00B36F35"/>
    <w:rsid w:val="00B406AA"/>
    <w:rsid w:val="00B531AE"/>
    <w:rsid w:val="00B532B6"/>
    <w:rsid w:val="00B5349A"/>
    <w:rsid w:val="00B53607"/>
    <w:rsid w:val="00B540C3"/>
    <w:rsid w:val="00B554BF"/>
    <w:rsid w:val="00B55562"/>
    <w:rsid w:val="00B60C2F"/>
    <w:rsid w:val="00B62D2A"/>
    <w:rsid w:val="00B67AC1"/>
    <w:rsid w:val="00B71477"/>
    <w:rsid w:val="00B722A5"/>
    <w:rsid w:val="00B758D6"/>
    <w:rsid w:val="00B80006"/>
    <w:rsid w:val="00B82862"/>
    <w:rsid w:val="00B8468C"/>
    <w:rsid w:val="00B84743"/>
    <w:rsid w:val="00B84C1A"/>
    <w:rsid w:val="00B9072F"/>
    <w:rsid w:val="00B92653"/>
    <w:rsid w:val="00B92EE6"/>
    <w:rsid w:val="00B93F2B"/>
    <w:rsid w:val="00B94D36"/>
    <w:rsid w:val="00B94EE8"/>
    <w:rsid w:val="00B97E6C"/>
    <w:rsid w:val="00BA02AC"/>
    <w:rsid w:val="00BA3C78"/>
    <w:rsid w:val="00BA47BC"/>
    <w:rsid w:val="00BA49E8"/>
    <w:rsid w:val="00BA5FCB"/>
    <w:rsid w:val="00BB1D70"/>
    <w:rsid w:val="00BB5E7B"/>
    <w:rsid w:val="00BC4086"/>
    <w:rsid w:val="00BC6554"/>
    <w:rsid w:val="00BC6601"/>
    <w:rsid w:val="00BC6641"/>
    <w:rsid w:val="00BD0297"/>
    <w:rsid w:val="00BD4214"/>
    <w:rsid w:val="00BE13B2"/>
    <w:rsid w:val="00BE2E00"/>
    <w:rsid w:val="00BF0EE5"/>
    <w:rsid w:val="00BF19FF"/>
    <w:rsid w:val="00BF6687"/>
    <w:rsid w:val="00BF6D2B"/>
    <w:rsid w:val="00C01F40"/>
    <w:rsid w:val="00C0634A"/>
    <w:rsid w:val="00C11038"/>
    <w:rsid w:val="00C11EAF"/>
    <w:rsid w:val="00C16992"/>
    <w:rsid w:val="00C201E6"/>
    <w:rsid w:val="00C21E31"/>
    <w:rsid w:val="00C23425"/>
    <w:rsid w:val="00C24892"/>
    <w:rsid w:val="00C30D07"/>
    <w:rsid w:val="00C32969"/>
    <w:rsid w:val="00C3473A"/>
    <w:rsid w:val="00C3520B"/>
    <w:rsid w:val="00C45C56"/>
    <w:rsid w:val="00C52E79"/>
    <w:rsid w:val="00C532CF"/>
    <w:rsid w:val="00C57E89"/>
    <w:rsid w:val="00C57FFB"/>
    <w:rsid w:val="00C603BE"/>
    <w:rsid w:val="00C65E5B"/>
    <w:rsid w:val="00C85108"/>
    <w:rsid w:val="00C91974"/>
    <w:rsid w:val="00C9199C"/>
    <w:rsid w:val="00C9216C"/>
    <w:rsid w:val="00CA011B"/>
    <w:rsid w:val="00CA1539"/>
    <w:rsid w:val="00CA19A6"/>
    <w:rsid w:val="00CB0730"/>
    <w:rsid w:val="00CB1F91"/>
    <w:rsid w:val="00CB4EEC"/>
    <w:rsid w:val="00CB5DA1"/>
    <w:rsid w:val="00CB7C6B"/>
    <w:rsid w:val="00CC0C07"/>
    <w:rsid w:val="00CC1693"/>
    <w:rsid w:val="00CC394B"/>
    <w:rsid w:val="00CC400C"/>
    <w:rsid w:val="00CC752E"/>
    <w:rsid w:val="00CD32C3"/>
    <w:rsid w:val="00CE5B6C"/>
    <w:rsid w:val="00CE6721"/>
    <w:rsid w:val="00CE7960"/>
    <w:rsid w:val="00CF1C12"/>
    <w:rsid w:val="00CF798F"/>
    <w:rsid w:val="00D0008C"/>
    <w:rsid w:val="00D01FAE"/>
    <w:rsid w:val="00D02EF1"/>
    <w:rsid w:val="00D04F6D"/>
    <w:rsid w:val="00D05375"/>
    <w:rsid w:val="00D224FD"/>
    <w:rsid w:val="00D24DC2"/>
    <w:rsid w:val="00D2689D"/>
    <w:rsid w:val="00D361B8"/>
    <w:rsid w:val="00D362DC"/>
    <w:rsid w:val="00D4019C"/>
    <w:rsid w:val="00D41043"/>
    <w:rsid w:val="00D47758"/>
    <w:rsid w:val="00D47829"/>
    <w:rsid w:val="00D47859"/>
    <w:rsid w:val="00D47ECB"/>
    <w:rsid w:val="00D53CD2"/>
    <w:rsid w:val="00D66AED"/>
    <w:rsid w:val="00D670C5"/>
    <w:rsid w:val="00D7027C"/>
    <w:rsid w:val="00D7342D"/>
    <w:rsid w:val="00D7769D"/>
    <w:rsid w:val="00D77F04"/>
    <w:rsid w:val="00D91769"/>
    <w:rsid w:val="00D931A7"/>
    <w:rsid w:val="00D954BD"/>
    <w:rsid w:val="00DA1868"/>
    <w:rsid w:val="00DA2B7C"/>
    <w:rsid w:val="00DA38FE"/>
    <w:rsid w:val="00DA4039"/>
    <w:rsid w:val="00DB2F71"/>
    <w:rsid w:val="00DB65F5"/>
    <w:rsid w:val="00DC69F8"/>
    <w:rsid w:val="00DD03CD"/>
    <w:rsid w:val="00DD12E9"/>
    <w:rsid w:val="00DD3EF0"/>
    <w:rsid w:val="00DE043D"/>
    <w:rsid w:val="00DE044C"/>
    <w:rsid w:val="00DE180E"/>
    <w:rsid w:val="00DF13A2"/>
    <w:rsid w:val="00DF5063"/>
    <w:rsid w:val="00DF6095"/>
    <w:rsid w:val="00E007C4"/>
    <w:rsid w:val="00E00DE3"/>
    <w:rsid w:val="00E01AF9"/>
    <w:rsid w:val="00E046E6"/>
    <w:rsid w:val="00E07CDA"/>
    <w:rsid w:val="00E12448"/>
    <w:rsid w:val="00E165A7"/>
    <w:rsid w:val="00E200E7"/>
    <w:rsid w:val="00E21FF8"/>
    <w:rsid w:val="00E237FC"/>
    <w:rsid w:val="00E25074"/>
    <w:rsid w:val="00E2539B"/>
    <w:rsid w:val="00E26B29"/>
    <w:rsid w:val="00E27370"/>
    <w:rsid w:val="00E30BED"/>
    <w:rsid w:val="00E31061"/>
    <w:rsid w:val="00E33A26"/>
    <w:rsid w:val="00E37A46"/>
    <w:rsid w:val="00E472A1"/>
    <w:rsid w:val="00E47309"/>
    <w:rsid w:val="00E478AA"/>
    <w:rsid w:val="00E51E2E"/>
    <w:rsid w:val="00E5443C"/>
    <w:rsid w:val="00E54789"/>
    <w:rsid w:val="00E64A90"/>
    <w:rsid w:val="00E66468"/>
    <w:rsid w:val="00E674CC"/>
    <w:rsid w:val="00E711E0"/>
    <w:rsid w:val="00E717E8"/>
    <w:rsid w:val="00E72B20"/>
    <w:rsid w:val="00E73A95"/>
    <w:rsid w:val="00E8386D"/>
    <w:rsid w:val="00E847BF"/>
    <w:rsid w:val="00E84AA6"/>
    <w:rsid w:val="00E86465"/>
    <w:rsid w:val="00E8710D"/>
    <w:rsid w:val="00E87A5E"/>
    <w:rsid w:val="00E87BDD"/>
    <w:rsid w:val="00E91543"/>
    <w:rsid w:val="00E92899"/>
    <w:rsid w:val="00E949B9"/>
    <w:rsid w:val="00E94D6B"/>
    <w:rsid w:val="00E95324"/>
    <w:rsid w:val="00EA227C"/>
    <w:rsid w:val="00EA55D7"/>
    <w:rsid w:val="00EB4A15"/>
    <w:rsid w:val="00EB503C"/>
    <w:rsid w:val="00EB6049"/>
    <w:rsid w:val="00EB74D9"/>
    <w:rsid w:val="00EC0FC0"/>
    <w:rsid w:val="00EC29FE"/>
    <w:rsid w:val="00EC4350"/>
    <w:rsid w:val="00EC536F"/>
    <w:rsid w:val="00EC7564"/>
    <w:rsid w:val="00ED419D"/>
    <w:rsid w:val="00ED56A0"/>
    <w:rsid w:val="00ED58B2"/>
    <w:rsid w:val="00ED5F63"/>
    <w:rsid w:val="00EE0BF3"/>
    <w:rsid w:val="00EE2E18"/>
    <w:rsid w:val="00EE3036"/>
    <w:rsid w:val="00EE3C87"/>
    <w:rsid w:val="00EE3D35"/>
    <w:rsid w:val="00EE6FC9"/>
    <w:rsid w:val="00EF1783"/>
    <w:rsid w:val="00EF6459"/>
    <w:rsid w:val="00F03D26"/>
    <w:rsid w:val="00F049C8"/>
    <w:rsid w:val="00F06D4B"/>
    <w:rsid w:val="00F11C5A"/>
    <w:rsid w:val="00F12F51"/>
    <w:rsid w:val="00F13D24"/>
    <w:rsid w:val="00F1641B"/>
    <w:rsid w:val="00F16EF2"/>
    <w:rsid w:val="00F25002"/>
    <w:rsid w:val="00F31D69"/>
    <w:rsid w:val="00F320B1"/>
    <w:rsid w:val="00F330B6"/>
    <w:rsid w:val="00F33A82"/>
    <w:rsid w:val="00F400A0"/>
    <w:rsid w:val="00F423A4"/>
    <w:rsid w:val="00F47DED"/>
    <w:rsid w:val="00F50EAB"/>
    <w:rsid w:val="00F51F05"/>
    <w:rsid w:val="00F54042"/>
    <w:rsid w:val="00F56BB9"/>
    <w:rsid w:val="00F61E42"/>
    <w:rsid w:val="00F649F6"/>
    <w:rsid w:val="00F66206"/>
    <w:rsid w:val="00F70F5C"/>
    <w:rsid w:val="00F73755"/>
    <w:rsid w:val="00F75472"/>
    <w:rsid w:val="00F75935"/>
    <w:rsid w:val="00F759ED"/>
    <w:rsid w:val="00F75B8B"/>
    <w:rsid w:val="00F75BB3"/>
    <w:rsid w:val="00F814DD"/>
    <w:rsid w:val="00F8160C"/>
    <w:rsid w:val="00F81C19"/>
    <w:rsid w:val="00F82E0C"/>
    <w:rsid w:val="00F867F5"/>
    <w:rsid w:val="00F911B8"/>
    <w:rsid w:val="00F9173D"/>
    <w:rsid w:val="00F92584"/>
    <w:rsid w:val="00F94872"/>
    <w:rsid w:val="00F95C6A"/>
    <w:rsid w:val="00F96EB9"/>
    <w:rsid w:val="00FA111F"/>
    <w:rsid w:val="00FA136C"/>
    <w:rsid w:val="00FA40F7"/>
    <w:rsid w:val="00FA5450"/>
    <w:rsid w:val="00FA5BF3"/>
    <w:rsid w:val="00FB5986"/>
    <w:rsid w:val="00FC03A8"/>
    <w:rsid w:val="00FC3126"/>
    <w:rsid w:val="00FC7368"/>
    <w:rsid w:val="00FD6104"/>
    <w:rsid w:val="00FD693D"/>
    <w:rsid w:val="00FE0358"/>
    <w:rsid w:val="00FE1217"/>
    <w:rsid w:val="00FE157E"/>
    <w:rsid w:val="00FE48C6"/>
    <w:rsid w:val="00FF16BD"/>
    <w:rsid w:val="00FF34BB"/>
    <w:rsid w:val="00FF37EA"/>
    <w:rsid w:val="00FF4BE5"/>
    <w:rsid w:val="00FF6E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E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59"/>
  </w:style>
  <w:style w:type="paragraph" w:styleId="Heading1">
    <w:name w:val="heading 1"/>
    <w:basedOn w:val="Normal"/>
    <w:next w:val="Normal"/>
    <w:link w:val="Heading1Char"/>
    <w:qFormat/>
    <w:rsid w:val="00D47859"/>
    <w:pPr>
      <w:keepNext/>
      <w:spacing w:after="0" w:line="240" w:lineRule="auto"/>
      <w:jc w:val="center"/>
      <w:outlineLvl w:val="0"/>
    </w:pPr>
    <w:rPr>
      <w:rFonts w:ascii="Arial" w:eastAsia="Times New Roman" w:hAnsi="Arial" w:cs="Times New Roman"/>
      <w:b/>
      <w:bCs/>
      <w:sz w:val="52"/>
      <w:szCs w:val="24"/>
      <w:lang w:val="fr-FR"/>
    </w:rPr>
  </w:style>
  <w:style w:type="paragraph" w:styleId="Heading2">
    <w:name w:val="heading 2"/>
    <w:basedOn w:val="Normal"/>
    <w:next w:val="Normal"/>
    <w:link w:val="Heading2Char"/>
    <w:uiPriority w:val="9"/>
    <w:unhideWhenUsed/>
    <w:qFormat/>
    <w:rsid w:val="00C110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D47859"/>
    <w:pPr>
      <w:keepNext/>
      <w:spacing w:after="0" w:line="240" w:lineRule="auto"/>
      <w:jc w:val="center"/>
      <w:outlineLvl w:val="3"/>
    </w:pPr>
    <w:rPr>
      <w:rFonts w:ascii="Arial" w:eastAsia="Times New Roman" w:hAnsi="Arial" w:cs="Times New Roman"/>
      <w:b/>
      <w:bCs/>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859"/>
    <w:rPr>
      <w:rFonts w:ascii="Arial" w:eastAsia="Times New Roman" w:hAnsi="Arial" w:cs="Times New Roman"/>
      <w:b/>
      <w:bCs/>
      <w:sz w:val="52"/>
      <w:szCs w:val="24"/>
      <w:lang w:val="fr-FR"/>
    </w:rPr>
  </w:style>
  <w:style w:type="character" w:customStyle="1" w:styleId="Heading4Char">
    <w:name w:val="Heading 4 Char"/>
    <w:basedOn w:val="DefaultParagraphFont"/>
    <w:link w:val="Heading4"/>
    <w:rsid w:val="00D47859"/>
    <w:rPr>
      <w:rFonts w:ascii="Arial" w:eastAsia="Times New Roman" w:hAnsi="Arial" w:cs="Times New Roman"/>
      <w:b/>
      <w:bCs/>
      <w:sz w:val="28"/>
      <w:szCs w:val="24"/>
      <w:lang w:val="fr-FR"/>
    </w:rPr>
  </w:style>
  <w:style w:type="character" w:styleId="Emphasis">
    <w:name w:val="Emphasis"/>
    <w:qFormat/>
    <w:rsid w:val="00D47859"/>
    <w:rPr>
      <w:i/>
      <w:iCs/>
    </w:rPr>
  </w:style>
  <w:style w:type="paragraph" w:styleId="ListParagraph">
    <w:name w:val="List Paragraph"/>
    <w:basedOn w:val="Normal"/>
    <w:uiPriority w:val="34"/>
    <w:qFormat/>
    <w:rsid w:val="00177518"/>
    <w:pPr>
      <w:ind w:left="720"/>
      <w:contextualSpacing/>
    </w:pPr>
  </w:style>
  <w:style w:type="paragraph" w:styleId="Header">
    <w:name w:val="header"/>
    <w:basedOn w:val="Normal"/>
    <w:link w:val="HeaderChar"/>
    <w:uiPriority w:val="99"/>
    <w:unhideWhenUsed/>
    <w:rsid w:val="00D2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FD"/>
  </w:style>
  <w:style w:type="paragraph" w:styleId="Footer">
    <w:name w:val="footer"/>
    <w:basedOn w:val="Normal"/>
    <w:link w:val="FooterChar"/>
    <w:uiPriority w:val="99"/>
    <w:unhideWhenUsed/>
    <w:rsid w:val="00D2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FD"/>
  </w:style>
  <w:style w:type="character" w:styleId="PageNumber">
    <w:name w:val="page number"/>
    <w:basedOn w:val="DefaultParagraphFont"/>
    <w:uiPriority w:val="99"/>
    <w:semiHidden/>
    <w:unhideWhenUsed/>
    <w:rsid w:val="00F81C19"/>
  </w:style>
  <w:style w:type="numbering" w:customStyle="1" w:styleId="ImportedStyle1">
    <w:name w:val="Imported Style 1"/>
    <w:rsid w:val="00A572A6"/>
    <w:pPr>
      <w:numPr>
        <w:numId w:val="6"/>
      </w:numPr>
    </w:pPr>
  </w:style>
  <w:style w:type="paragraph" w:styleId="FootnoteText">
    <w:name w:val="footnote text"/>
    <w:basedOn w:val="Normal"/>
    <w:link w:val="FootnoteTextChar"/>
    <w:uiPriority w:val="99"/>
    <w:unhideWhenUsed/>
    <w:rsid w:val="007C1015"/>
    <w:pPr>
      <w:spacing w:after="0" w:line="240" w:lineRule="auto"/>
    </w:pPr>
    <w:rPr>
      <w:sz w:val="24"/>
      <w:szCs w:val="24"/>
    </w:rPr>
  </w:style>
  <w:style w:type="character" w:customStyle="1" w:styleId="FootnoteTextChar">
    <w:name w:val="Footnote Text Char"/>
    <w:basedOn w:val="DefaultParagraphFont"/>
    <w:link w:val="FootnoteText"/>
    <w:uiPriority w:val="99"/>
    <w:rsid w:val="007C1015"/>
    <w:rPr>
      <w:sz w:val="24"/>
      <w:szCs w:val="24"/>
    </w:rPr>
  </w:style>
  <w:style w:type="character" w:styleId="FootnoteReference">
    <w:name w:val="footnote reference"/>
    <w:basedOn w:val="DefaultParagraphFont"/>
    <w:uiPriority w:val="99"/>
    <w:unhideWhenUsed/>
    <w:rsid w:val="007C1015"/>
    <w:rPr>
      <w:vertAlign w:val="superscript"/>
    </w:rPr>
  </w:style>
  <w:style w:type="paragraph" w:styleId="BalloonText">
    <w:name w:val="Balloon Text"/>
    <w:basedOn w:val="Normal"/>
    <w:link w:val="BalloonTextChar"/>
    <w:uiPriority w:val="99"/>
    <w:semiHidden/>
    <w:unhideWhenUsed/>
    <w:rsid w:val="001B2B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B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2B2C"/>
    <w:rPr>
      <w:sz w:val="18"/>
      <w:szCs w:val="18"/>
    </w:rPr>
  </w:style>
  <w:style w:type="paragraph" w:styleId="CommentText">
    <w:name w:val="annotation text"/>
    <w:basedOn w:val="Normal"/>
    <w:link w:val="CommentTextChar"/>
    <w:uiPriority w:val="99"/>
    <w:semiHidden/>
    <w:unhideWhenUsed/>
    <w:rsid w:val="001B2B2C"/>
    <w:pPr>
      <w:spacing w:line="240" w:lineRule="auto"/>
    </w:pPr>
    <w:rPr>
      <w:sz w:val="24"/>
      <w:szCs w:val="24"/>
    </w:rPr>
  </w:style>
  <w:style w:type="character" w:customStyle="1" w:styleId="CommentTextChar">
    <w:name w:val="Comment Text Char"/>
    <w:basedOn w:val="DefaultParagraphFont"/>
    <w:link w:val="CommentText"/>
    <w:uiPriority w:val="99"/>
    <w:semiHidden/>
    <w:rsid w:val="001B2B2C"/>
    <w:rPr>
      <w:sz w:val="24"/>
      <w:szCs w:val="24"/>
    </w:rPr>
  </w:style>
  <w:style w:type="paragraph" w:styleId="CommentSubject">
    <w:name w:val="annotation subject"/>
    <w:basedOn w:val="CommentText"/>
    <w:next w:val="CommentText"/>
    <w:link w:val="CommentSubjectChar"/>
    <w:uiPriority w:val="99"/>
    <w:semiHidden/>
    <w:unhideWhenUsed/>
    <w:rsid w:val="001B2B2C"/>
    <w:rPr>
      <w:b/>
      <w:bCs/>
      <w:sz w:val="20"/>
      <w:szCs w:val="20"/>
    </w:rPr>
  </w:style>
  <w:style w:type="character" w:customStyle="1" w:styleId="CommentSubjectChar">
    <w:name w:val="Comment Subject Char"/>
    <w:basedOn w:val="CommentTextChar"/>
    <w:link w:val="CommentSubject"/>
    <w:uiPriority w:val="99"/>
    <w:semiHidden/>
    <w:rsid w:val="001B2B2C"/>
    <w:rPr>
      <w:b/>
      <w:bCs/>
      <w:sz w:val="20"/>
      <w:szCs w:val="20"/>
    </w:rPr>
  </w:style>
  <w:style w:type="character" w:styleId="Hyperlink">
    <w:name w:val="Hyperlink"/>
    <w:basedOn w:val="DefaultParagraphFont"/>
    <w:uiPriority w:val="99"/>
    <w:unhideWhenUsed/>
    <w:rsid w:val="00F049C8"/>
    <w:rPr>
      <w:color w:val="0563C1" w:themeColor="hyperlink"/>
      <w:u w:val="single"/>
    </w:rPr>
  </w:style>
  <w:style w:type="character" w:styleId="LineNumber">
    <w:name w:val="line number"/>
    <w:basedOn w:val="DefaultParagraphFont"/>
    <w:uiPriority w:val="99"/>
    <w:semiHidden/>
    <w:unhideWhenUsed/>
    <w:rsid w:val="00356A56"/>
  </w:style>
  <w:style w:type="character" w:customStyle="1" w:styleId="Heading2Char">
    <w:name w:val="Heading 2 Char"/>
    <w:basedOn w:val="DefaultParagraphFont"/>
    <w:link w:val="Heading2"/>
    <w:uiPriority w:val="9"/>
    <w:rsid w:val="00C11038"/>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861D66"/>
    <w:pPr>
      <w:keepLines/>
      <w:spacing w:before="480" w:line="276" w:lineRule="auto"/>
      <w:jc w:val="left"/>
      <w:outlineLvl w:val="9"/>
    </w:pPr>
    <w:rPr>
      <w:rFonts w:asciiTheme="majorHAnsi" w:eastAsiaTheme="majorEastAsia" w:hAnsiTheme="majorHAnsi" w:cstheme="majorBidi"/>
      <w:color w:val="2E74B5" w:themeColor="accent1" w:themeShade="BF"/>
      <w:sz w:val="28"/>
      <w:szCs w:val="28"/>
      <w:lang w:val="en-US" w:eastAsia="ja-JP"/>
    </w:rPr>
  </w:style>
  <w:style w:type="paragraph" w:styleId="TOC1">
    <w:name w:val="toc 1"/>
    <w:basedOn w:val="Normal"/>
    <w:next w:val="Normal"/>
    <w:autoRedefine/>
    <w:uiPriority w:val="39"/>
    <w:unhideWhenUsed/>
    <w:rsid w:val="00B8468C"/>
    <w:pPr>
      <w:tabs>
        <w:tab w:val="left" w:pos="440"/>
        <w:tab w:val="right" w:leader="dot" w:pos="9016"/>
      </w:tabs>
      <w:spacing w:after="100"/>
    </w:pPr>
  </w:style>
  <w:style w:type="paragraph" w:styleId="TOC2">
    <w:name w:val="toc 2"/>
    <w:basedOn w:val="Normal"/>
    <w:next w:val="Normal"/>
    <w:autoRedefine/>
    <w:uiPriority w:val="39"/>
    <w:unhideWhenUsed/>
    <w:rsid w:val="00B8468C"/>
    <w:pPr>
      <w:tabs>
        <w:tab w:val="left" w:pos="567"/>
        <w:tab w:val="right" w:leader="dot" w:pos="9016"/>
      </w:tabs>
      <w:spacing w:after="100"/>
      <w:ind w:left="567"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59"/>
  </w:style>
  <w:style w:type="paragraph" w:styleId="Heading1">
    <w:name w:val="heading 1"/>
    <w:basedOn w:val="Normal"/>
    <w:next w:val="Normal"/>
    <w:link w:val="Heading1Char"/>
    <w:qFormat/>
    <w:rsid w:val="00D47859"/>
    <w:pPr>
      <w:keepNext/>
      <w:spacing w:after="0" w:line="240" w:lineRule="auto"/>
      <w:jc w:val="center"/>
      <w:outlineLvl w:val="0"/>
    </w:pPr>
    <w:rPr>
      <w:rFonts w:ascii="Arial" w:eastAsia="Times New Roman" w:hAnsi="Arial" w:cs="Times New Roman"/>
      <w:b/>
      <w:bCs/>
      <w:sz w:val="52"/>
      <w:szCs w:val="24"/>
      <w:lang w:val="fr-FR"/>
    </w:rPr>
  </w:style>
  <w:style w:type="paragraph" w:styleId="Heading2">
    <w:name w:val="heading 2"/>
    <w:basedOn w:val="Normal"/>
    <w:next w:val="Normal"/>
    <w:link w:val="Heading2Char"/>
    <w:uiPriority w:val="9"/>
    <w:unhideWhenUsed/>
    <w:qFormat/>
    <w:rsid w:val="00C110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D47859"/>
    <w:pPr>
      <w:keepNext/>
      <w:spacing w:after="0" w:line="240" w:lineRule="auto"/>
      <w:jc w:val="center"/>
      <w:outlineLvl w:val="3"/>
    </w:pPr>
    <w:rPr>
      <w:rFonts w:ascii="Arial" w:eastAsia="Times New Roman" w:hAnsi="Arial" w:cs="Times New Roman"/>
      <w:b/>
      <w:bCs/>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859"/>
    <w:rPr>
      <w:rFonts w:ascii="Arial" w:eastAsia="Times New Roman" w:hAnsi="Arial" w:cs="Times New Roman"/>
      <w:b/>
      <w:bCs/>
      <w:sz w:val="52"/>
      <w:szCs w:val="24"/>
      <w:lang w:val="fr-FR"/>
    </w:rPr>
  </w:style>
  <w:style w:type="character" w:customStyle="1" w:styleId="Heading4Char">
    <w:name w:val="Heading 4 Char"/>
    <w:basedOn w:val="DefaultParagraphFont"/>
    <w:link w:val="Heading4"/>
    <w:rsid w:val="00D47859"/>
    <w:rPr>
      <w:rFonts w:ascii="Arial" w:eastAsia="Times New Roman" w:hAnsi="Arial" w:cs="Times New Roman"/>
      <w:b/>
      <w:bCs/>
      <w:sz w:val="28"/>
      <w:szCs w:val="24"/>
      <w:lang w:val="fr-FR"/>
    </w:rPr>
  </w:style>
  <w:style w:type="character" w:styleId="Emphasis">
    <w:name w:val="Emphasis"/>
    <w:qFormat/>
    <w:rsid w:val="00D47859"/>
    <w:rPr>
      <w:i/>
      <w:iCs/>
    </w:rPr>
  </w:style>
  <w:style w:type="paragraph" w:styleId="ListParagraph">
    <w:name w:val="List Paragraph"/>
    <w:basedOn w:val="Normal"/>
    <w:uiPriority w:val="34"/>
    <w:qFormat/>
    <w:rsid w:val="00177518"/>
    <w:pPr>
      <w:ind w:left="720"/>
      <w:contextualSpacing/>
    </w:pPr>
  </w:style>
  <w:style w:type="paragraph" w:styleId="Header">
    <w:name w:val="header"/>
    <w:basedOn w:val="Normal"/>
    <w:link w:val="HeaderChar"/>
    <w:uiPriority w:val="99"/>
    <w:unhideWhenUsed/>
    <w:rsid w:val="00D2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FD"/>
  </w:style>
  <w:style w:type="paragraph" w:styleId="Footer">
    <w:name w:val="footer"/>
    <w:basedOn w:val="Normal"/>
    <w:link w:val="FooterChar"/>
    <w:uiPriority w:val="99"/>
    <w:unhideWhenUsed/>
    <w:rsid w:val="00D2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FD"/>
  </w:style>
  <w:style w:type="character" w:styleId="PageNumber">
    <w:name w:val="page number"/>
    <w:basedOn w:val="DefaultParagraphFont"/>
    <w:uiPriority w:val="99"/>
    <w:semiHidden/>
    <w:unhideWhenUsed/>
    <w:rsid w:val="00F81C19"/>
  </w:style>
  <w:style w:type="numbering" w:customStyle="1" w:styleId="ImportedStyle1">
    <w:name w:val="Imported Style 1"/>
    <w:rsid w:val="00A572A6"/>
    <w:pPr>
      <w:numPr>
        <w:numId w:val="6"/>
      </w:numPr>
    </w:pPr>
  </w:style>
  <w:style w:type="paragraph" w:styleId="FootnoteText">
    <w:name w:val="footnote text"/>
    <w:basedOn w:val="Normal"/>
    <w:link w:val="FootnoteTextChar"/>
    <w:uiPriority w:val="99"/>
    <w:unhideWhenUsed/>
    <w:rsid w:val="007C1015"/>
    <w:pPr>
      <w:spacing w:after="0" w:line="240" w:lineRule="auto"/>
    </w:pPr>
    <w:rPr>
      <w:sz w:val="24"/>
      <w:szCs w:val="24"/>
    </w:rPr>
  </w:style>
  <w:style w:type="character" w:customStyle="1" w:styleId="FootnoteTextChar">
    <w:name w:val="Footnote Text Char"/>
    <w:basedOn w:val="DefaultParagraphFont"/>
    <w:link w:val="FootnoteText"/>
    <w:uiPriority w:val="99"/>
    <w:rsid w:val="007C1015"/>
    <w:rPr>
      <w:sz w:val="24"/>
      <w:szCs w:val="24"/>
    </w:rPr>
  </w:style>
  <w:style w:type="character" w:styleId="FootnoteReference">
    <w:name w:val="footnote reference"/>
    <w:basedOn w:val="DefaultParagraphFont"/>
    <w:uiPriority w:val="99"/>
    <w:unhideWhenUsed/>
    <w:rsid w:val="007C1015"/>
    <w:rPr>
      <w:vertAlign w:val="superscript"/>
    </w:rPr>
  </w:style>
  <w:style w:type="paragraph" w:styleId="BalloonText">
    <w:name w:val="Balloon Text"/>
    <w:basedOn w:val="Normal"/>
    <w:link w:val="BalloonTextChar"/>
    <w:uiPriority w:val="99"/>
    <w:semiHidden/>
    <w:unhideWhenUsed/>
    <w:rsid w:val="001B2B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B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2B2C"/>
    <w:rPr>
      <w:sz w:val="18"/>
      <w:szCs w:val="18"/>
    </w:rPr>
  </w:style>
  <w:style w:type="paragraph" w:styleId="CommentText">
    <w:name w:val="annotation text"/>
    <w:basedOn w:val="Normal"/>
    <w:link w:val="CommentTextChar"/>
    <w:uiPriority w:val="99"/>
    <w:semiHidden/>
    <w:unhideWhenUsed/>
    <w:rsid w:val="001B2B2C"/>
    <w:pPr>
      <w:spacing w:line="240" w:lineRule="auto"/>
    </w:pPr>
    <w:rPr>
      <w:sz w:val="24"/>
      <w:szCs w:val="24"/>
    </w:rPr>
  </w:style>
  <w:style w:type="character" w:customStyle="1" w:styleId="CommentTextChar">
    <w:name w:val="Comment Text Char"/>
    <w:basedOn w:val="DefaultParagraphFont"/>
    <w:link w:val="CommentText"/>
    <w:uiPriority w:val="99"/>
    <w:semiHidden/>
    <w:rsid w:val="001B2B2C"/>
    <w:rPr>
      <w:sz w:val="24"/>
      <w:szCs w:val="24"/>
    </w:rPr>
  </w:style>
  <w:style w:type="paragraph" w:styleId="CommentSubject">
    <w:name w:val="annotation subject"/>
    <w:basedOn w:val="CommentText"/>
    <w:next w:val="CommentText"/>
    <w:link w:val="CommentSubjectChar"/>
    <w:uiPriority w:val="99"/>
    <w:semiHidden/>
    <w:unhideWhenUsed/>
    <w:rsid w:val="001B2B2C"/>
    <w:rPr>
      <w:b/>
      <w:bCs/>
      <w:sz w:val="20"/>
      <w:szCs w:val="20"/>
    </w:rPr>
  </w:style>
  <w:style w:type="character" w:customStyle="1" w:styleId="CommentSubjectChar">
    <w:name w:val="Comment Subject Char"/>
    <w:basedOn w:val="CommentTextChar"/>
    <w:link w:val="CommentSubject"/>
    <w:uiPriority w:val="99"/>
    <w:semiHidden/>
    <w:rsid w:val="001B2B2C"/>
    <w:rPr>
      <w:b/>
      <w:bCs/>
      <w:sz w:val="20"/>
      <w:szCs w:val="20"/>
    </w:rPr>
  </w:style>
  <w:style w:type="character" w:styleId="Hyperlink">
    <w:name w:val="Hyperlink"/>
    <w:basedOn w:val="DefaultParagraphFont"/>
    <w:uiPriority w:val="99"/>
    <w:unhideWhenUsed/>
    <w:rsid w:val="00F049C8"/>
    <w:rPr>
      <w:color w:val="0563C1" w:themeColor="hyperlink"/>
      <w:u w:val="single"/>
    </w:rPr>
  </w:style>
  <w:style w:type="character" w:styleId="LineNumber">
    <w:name w:val="line number"/>
    <w:basedOn w:val="DefaultParagraphFont"/>
    <w:uiPriority w:val="99"/>
    <w:semiHidden/>
    <w:unhideWhenUsed/>
    <w:rsid w:val="00356A56"/>
  </w:style>
  <w:style w:type="character" w:customStyle="1" w:styleId="Heading2Char">
    <w:name w:val="Heading 2 Char"/>
    <w:basedOn w:val="DefaultParagraphFont"/>
    <w:link w:val="Heading2"/>
    <w:uiPriority w:val="9"/>
    <w:rsid w:val="00C11038"/>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861D66"/>
    <w:pPr>
      <w:keepLines/>
      <w:spacing w:before="480" w:line="276" w:lineRule="auto"/>
      <w:jc w:val="left"/>
      <w:outlineLvl w:val="9"/>
    </w:pPr>
    <w:rPr>
      <w:rFonts w:asciiTheme="majorHAnsi" w:eastAsiaTheme="majorEastAsia" w:hAnsiTheme="majorHAnsi" w:cstheme="majorBidi"/>
      <w:color w:val="2E74B5" w:themeColor="accent1" w:themeShade="BF"/>
      <w:sz w:val="28"/>
      <w:szCs w:val="28"/>
      <w:lang w:val="en-US" w:eastAsia="ja-JP"/>
    </w:rPr>
  </w:style>
  <w:style w:type="paragraph" w:styleId="TOC1">
    <w:name w:val="toc 1"/>
    <w:basedOn w:val="Normal"/>
    <w:next w:val="Normal"/>
    <w:autoRedefine/>
    <w:uiPriority w:val="39"/>
    <w:unhideWhenUsed/>
    <w:rsid w:val="00B8468C"/>
    <w:pPr>
      <w:tabs>
        <w:tab w:val="left" w:pos="440"/>
        <w:tab w:val="right" w:leader="dot" w:pos="9016"/>
      </w:tabs>
      <w:spacing w:after="100"/>
    </w:pPr>
  </w:style>
  <w:style w:type="paragraph" w:styleId="TOC2">
    <w:name w:val="toc 2"/>
    <w:basedOn w:val="Normal"/>
    <w:next w:val="Normal"/>
    <w:autoRedefine/>
    <w:uiPriority w:val="39"/>
    <w:unhideWhenUsed/>
    <w:rsid w:val="00B8468C"/>
    <w:pPr>
      <w:tabs>
        <w:tab w:val="left" w:pos="567"/>
        <w:tab w:val="right" w:leader="dot" w:pos="9016"/>
      </w:tabs>
      <w:spacing w:after="100"/>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5473">
      <w:bodyDiv w:val="1"/>
      <w:marLeft w:val="0"/>
      <w:marRight w:val="0"/>
      <w:marTop w:val="0"/>
      <w:marBottom w:val="0"/>
      <w:divBdr>
        <w:top w:val="none" w:sz="0" w:space="0" w:color="auto"/>
        <w:left w:val="none" w:sz="0" w:space="0" w:color="auto"/>
        <w:bottom w:val="none" w:sz="0" w:space="0" w:color="auto"/>
        <w:right w:val="none" w:sz="0" w:space="0" w:color="auto"/>
      </w:divBdr>
    </w:div>
    <w:div w:id="572617077">
      <w:bodyDiv w:val="1"/>
      <w:marLeft w:val="0"/>
      <w:marRight w:val="0"/>
      <w:marTop w:val="0"/>
      <w:marBottom w:val="0"/>
      <w:divBdr>
        <w:top w:val="none" w:sz="0" w:space="0" w:color="auto"/>
        <w:left w:val="none" w:sz="0" w:space="0" w:color="auto"/>
        <w:bottom w:val="none" w:sz="0" w:space="0" w:color="auto"/>
        <w:right w:val="none" w:sz="0" w:space="0" w:color="auto"/>
      </w:divBdr>
    </w:div>
    <w:div w:id="13428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059684-CC76-4C6D-8C8C-DC7FDC1E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4598</Words>
  <Characters>26211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Thembile Segoete</dc:creator>
  <cp:lastModifiedBy>Optatus Nchimbi</cp:lastModifiedBy>
  <cp:revision>2</cp:revision>
  <cp:lastPrinted>2018-03-23T07:49:00Z</cp:lastPrinted>
  <dcterms:created xsi:type="dcterms:W3CDTF">2018-03-23T08:36:00Z</dcterms:created>
  <dcterms:modified xsi:type="dcterms:W3CDTF">2018-03-23T08:36:00Z</dcterms:modified>
</cp:coreProperties>
</file>