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103"/>
        <w:jc w:val="right"/>
      </w:pPr>
      <w:r>
        <w:rPr/>
        <w:t>CM/Res.973</w:t>
      </w:r>
      <w:r>
        <w:rPr>
          <w:spacing w:val="-2"/>
        </w:rPr>
        <w:t> </w:t>
      </w:r>
      <w:r>
        <w:rPr>
          <w:spacing w:val="-4"/>
        </w:rPr>
        <w:t>(XLI)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518" w:right="502"/>
        <w:jc w:val="center"/>
      </w:pPr>
      <w:r>
        <w:rPr>
          <w:u w:val="single"/>
        </w:rPr>
        <w:t>RESOLUTON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RECOGNITION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STUDIES:</w:t>
      </w:r>
      <w:r>
        <w:rPr>
          <w:spacing w:val="40"/>
          <w:u w:val="single"/>
        </w:rPr>
        <w:t> </w:t>
      </w:r>
      <w:r>
        <w:rPr>
          <w:u w:val="single"/>
        </w:rPr>
        <w:t>CERTIFICATES,</w:t>
      </w:r>
      <w:r>
        <w:rPr/>
        <w:t> </w:t>
      </w:r>
      <w:r>
        <w:rPr>
          <w:u w:val="single"/>
        </w:rPr>
        <w:t>DIPLOMAS, DEGREES AND OTHER QUALIFICATIONS IN HIGHER</w:t>
      </w:r>
      <w:r>
        <w:rPr/>
        <w:t> </w:t>
      </w:r>
      <w:r>
        <w:rPr>
          <w:u w:val="single"/>
        </w:rPr>
        <w:t>EDUCATION IN THE AFRICAN STATES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20"/>
      </w:pPr>
      <w:r>
        <w:rPr/>
        <w:t>The Council of Ministers of the Organization of African Unity meeting in its Forty- first</w:t>
      </w:r>
      <w:r>
        <w:rPr>
          <w:spacing w:val="-2"/>
        </w:rPr>
        <w:t> </w:t>
      </w:r>
      <w:r>
        <w:rPr/>
        <w:t>Ordinary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Addis</w:t>
      </w:r>
      <w:r>
        <w:rPr>
          <w:spacing w:val="-3"/>
        </w:rPr>
        <w:t> </w:t>
      </w:r>
      <w:r>
        <w:rPr/>
        <w:t>Ababa,</w:t>
      </w:r>
      <w:r>
        <w:rPr>
          <w:spacing w:val="-1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1985,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Having heard</w:t>
      </w:r>
      <w:r>
        <w:rPr/>
        <w:t> the report of the Secretary-General on the recognition of studies, certificates,</w:t>
      </w:r>
      <w:r>
        <w:rPr>
          <w:spacing w:val="-4"/>
        </w:rPr>
        <w:t> </w:t>
      </w:r>
      <w:r>
        <w:rPr/>
        <w:t>diplomas,</w:t>
      </w:r>
      <w:r>
        <w:rPr>
          <w:spacing w:val="-4"/>
        </w:rPr>
        <w:t> </w:t>
      </w:r>
      <w:r>
        <w:rPr/>
        <w:t>degrees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Higher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 African States CM/1276 (XLI),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74" w:hanging="1"/>
      </w:pPr>
      <w:r>
        <w:rPr>
          <w:u w:val="single"/>
        </w:rPr>
        <w:t>Recalling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Co-operation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UNESCO</w:t>
      </w:r>
      <w:r>
        <w:rPr>
          <w:spacing w:val="-5"/>
        </w:rPr>
        <w:t> </w:t>
      </w:r>
      <w:r>
        <w:rPr/>
        <w:t>concluded in July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Desirous</w:t>
      </w:r>
      <w:r>
        <w:rPr/>
        <w:t> of strengthening and increasing their co-operation in matters relating to education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aim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encouraging the</w:t>
      </w:r>
      <w:r>
        <w:rPr>
          <w:spacing w:val="-6"/>
        </w:rPr>
        <w:t> </w:t>
      </w:r>
      <w:r>
        <w:rPr/>
        <w:t>advancement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constant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gradual</w:t>
      </w:r>
      <w:r>
        <w:rPr>
          <w:spacing w:val="-4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on the quality of higher education and of promoting economic, social and cultural development in each of the African countries and the Continent as a whole,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19" w:right="142"/>
      </w:pPr>
      <w:r>
        <w:rPr>
          <w:u w:val="single"/>
        </w:rPr>
        <w:t>Convinced</w:t>
      </w:r>
      <w:r>
        <w:rPr/>
        <w:t> that the recognition of studies, certificates, diplomas, degrees and other academic qualifications in higher education which would ensure the greater</w:t>
      </w:r>
      <w:r>
        <w:rPr/>
        <w:t> mobility of students and experts throughout the African Continent is one of the conditions necessary for accelerating the development of the region which implies that</w:t>
      </w:r>
      <w:r>
        <w:rPr>
          <w:spacing w:val="-5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scientists,</w:t>
      </w:r>
      <w:r>
        <w:rPr>
          <w:spacing w:val="-4"/>
        </w:rPr>
        <w:t> </w:t>
      </w:r>
      <w:r>
        <w:rPr/>
        <w:t>technologists,</w:t>
      </w:r>
      <w:r>
        <w:rPr>
          <w:spacing w:val="-4"/>
        </w:rPr>
        <w:t> </w:t>
      </w:r>
      <w:r>
        <w:rPr/>
        <w:t>technicians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specialists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 trained and their services fully utilized: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575" w:hanging="720"/>
        <w:jc w:val="left"/>
        <w:rPr>
          <w:b/>
          <w:sz w:val="24"/>
        </w:rPr>
      </w:pPr>
      <w:r>
        <w:rPr>
          <w:b/>
          <w:sz w:val="24"/>
        </w:rPr>
        <w:t>WELCOMES UNESCO’s initiative in preparing a Convention on the recognition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studies,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certificates,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diplomas,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degrees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academic qualifications in higher education in the African States;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74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2" w:after="0"/>
        <w:ind w:left="840" w:right="202" w:hanging="720"/>
        <w:jc w:val="left"/>
        <w:rPr>
          <w:b/>
          <w:sz w:val="24"/>
        </w:rPr>
      </w:pPr>
      <w:r>
        <w:rPr>
          <w:b/>
          <w:sz w:val="24"/>
        </w:rPr>
        <w:t>NOTES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SATISFACTION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results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Conference of States held in Arusha from 1 to 5 December 1981;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10" w:hanging="720"/>
        <w:jc w:val="left"/>
        <w:rPr>
          <w:b/>
          <w:sz w:val="24"/>
        </w:rPr>
      </w:pPr>
      <w:r>
        <w:rPr>
          <w:b/>
          <w:sz w:val="24"/>
        </w:rPr>
        <w:t>URGES Member States which have not yet done so, to take as early as possible the necessary measures, so as to make the said Convention, operational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depositing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instrument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ratification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acceding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it.</w:t>
      </w:r>
    </w:p>
    <w:sectPr>
      <w:pgSz w:w="12240" w:h="15840"/>
      <w:pgMar w:top="74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20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FORTY-FIRST ORDINARY SESSION OF THE OAU COUNCIL OF MINISTERS</dc:title>
  <dcterms:created xsi:type="dcterms:W3CDTF">2023-04-11T21:41:42Z</dcterms:created>
  <dcterms:modified xsi:type="dcterms:W3CDTF">2023-04-11T21:41:42Z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