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723"/>
        <w:jc w:val="right"/>
      </w:pPr>
      <w:r>
        <w:rPr/>
        <w:t>CM/Res.1130</w:t>
      </w:r>
      <w:r>
        <w:rPr>
          <w:spacing w:val="22"/>
        </w:rPr>
        <w:t> </w:t>
      </w:r>
      <w:r>
        <w:rPr>
          <w:spacing w:val="-2"/>
        </w:rPr>
        <w:t>(XLVII)</w:t>
      </w:r>
    </w:p>
    <w:p>
      <w:pPr>
        <w:pStyle w:val="BodyText"/>
        <w:rPr>
          <w:sz w:val="23"/>
        </w:rPr>
      </w:pPr>
    </w:p>
    <w:p>
      <w:pPr>
        <w:pStyle w:val="BodyText"/>
        <w:spacing w:line="369" w:lineRule="auto"/>
        <w:ind w:left="934" w:right="912"/>
        <w:jc w:val="center"/>
      </w:pPr>
      <w:r>
        <w:rPr>
          <w:u w:val="single"/>
        </w:rPr>
        <w:t>RESOLUTION ON THE REPORT OF THE STANDING COMMITTEE</w:t>
      </w:r>
      <w:r>
        <w:rPr/>
        <w:t> </w:t>
      </w:r>
      <w:r>
        <w:rPr>
          <w:u w:val="single"/>
        </w:rPr>
        <w:t>ON THE REVIEW OF THE SCALE OF ASSESSMENT OF THE</w:t>
      </w:r>
      <w:r>
        <w:rPr/>
        <w:t> </w:t>
      </w:r>
      <w:r>
        <w:rPr>
          <w:u w:val="single"/>
        </w:rPr>
        <w:t>ORGANIZATION OF AFRICAN UNITY</w:t>
      </w:r>
    </w:p>
    <w:p>
      <w:pPr>
        <w:pStyle w:val="BodyText"/>
        <w:spacing w:before="4"/>
        <w:rPr>
          <w:sz w:val="25"/>
        </w:rPr>
      </w:pPr>
    </w:p>
    <w:p>
      <w:pPr>
        <w:pStyle w:val="BodyText"/>
        <w:spacing w:line="369" w:lineRule="auto" w:before="95"/>
        <w:ind w:left="512" w:right="928"/>
      </w:pPr>
      <w:r>
        <w:rPr/>
        <w:t>The Council of Ministers of the Organization of African Unity, meeting in its Forty-seventh Ordinary Session, in Addis Ababa, Ethiopia from 22 to 27 February 1988,</w:t>
      </w:r>
    </w:p>
    <w:p>
      <w:pPr>
        <w:pStyle w:val="BodyText"/>
        <w:spacing w:before="7"/>
        <w:rPr>
          <w:sz w:val="33"/>
        </w:rPr>
      </w:pPr>
    </w:p>
    <w:p>
      <w:pPr>
        <w:pStyle w:val="BodyText"/>
        <w:spacing w:line="369" w:lineRule="auto"/>
        <w:ind w:left="512" w:right="928"/>
      </w:pPr>
      <w:r>
        <w:rPr>
          <w:u w:val="single"/>
        </w:rPr>
        <w:t>Having considered</w:t>
      </w:r>
      <w:r>
        <w:rPr/>
        <w:t> the report of the Standing Committee on the Review of the Scale of Assessment, Document CM/1465 (XLVII),</w:t>
      </w:r>
    </w:p>
    <w:p>
      <w:pPr>
        <w:pStyle w:val="BodyText"/>
        <w:spacing w:before="1"/>
        <w:rPr>
          <w:sz w:val="34"/>
        </w:rPr>
      </w:pPr>
    </w:p>
    <w:p>
      <w:pPr>
        <w:pStyle w:val="BodyText"/>
        <w:spacing w:line="367" w:lineRule="auto"/>
        <w:ind w:left="512" w:right="701"/>
      </w:pPr>
      <w:r>
        <w:rPr>
          <w:u w:val="single"/>
        </w:rPr>
        <w:t>Desirous</w:t>
      </w:r>
      <w:r>
        <w:rPr/>
        <w:t> of reviewing the Nairobi Scale of Assessment which had been in force for more than six years and regarded by the majority of Member Countries as not indicative of the real conditions currently obtaining in Member Countries which determine their capacities to contribute to the Organization’s budget,</w:t>
      </w:r>
    </w:p>
    <w:p>
      <w:pPr>
        <w:pStyle w:val="BodyText"/>
        <w:spacing w:before="2"/>
        <w:rPr>
          <w:sz w:val="23"/>
        </w:rPr>
      </w:pPr>
    </w:p>
    <w:p>
      <w:pPr>
        <w:pStyle w:val="BodyText"/>
        <w:spacing w:line="369" w:lineRule="auto"/>
        <w:ind w:left="511" w:right="701"/>
      </w:pPr>
      <w:r>
        <w:rPr>
          <w:u w:val="single"/>
        </w:rPr>
        <w:t>Recalling</w:t>
      </w:r>
      <w:r>
        <w:rPr/>
        <w:t> the decision of the Council of Ministers that the Standing Committee on the review of the Scale of Assessment prepares and submits a Scale of Assessment to the Forty-seventh Session of the Council of Ministers,</w:t>
      </w:r>
    </w:p>
    <w:p>
      <w:pPr>
        <w:pStyle w:val="BodyText"/>
        <w:spacing w:before="7"/>
        <w:rPr>
          <w:sz w:val="33"/>
        </w:rPr>
      </w:pPr>
    </w:p>
    <w:p>
      <w:pPr>
        <w:pStyle w:val="BodyText"/>
        <w:spacing w:line="372" w:lineRule="auto"/>
        <w:ind w:left="512" w:right="928"/>
      </w:pPr>
      <w:r>
        <w:rPr>
          <w:u w:val="single"/>
        </w:rPr>
        <w:t>Noting with appreciation</w:t>
      </w:r>
      <w:r>
        <w:rPr/>
        <w:t> the work done by the Standing Committee on the Review of the Scale of Assessment of the OAU as contained in its report, Document CM/1464 (XLVII):</w:t>
      </w:r>
    </w:p>
    <w:p>
      <w:pPr>
        <w:pStyle w:val="BodyText"/>
        <w:spacing w:before="11"/>
        <w:rPr>
          <w:sz w:val="32"/>
        </w:rPr>
      </w:pPr>
    </w:p>
    <w:p>
      <w:pPr>
        <w:pStyle w:val="ListParagraph"/>
        <w:numPr>
          <w:ilvl w:val="0"/>
          <w:numId w:val="1"/>
        </w:numPr>
        <w:tabs>
          <w:tab w:pos="1188" w:val="left" w:leader="none"/>
          <w:tab w:pos="1189" w:val="left" w:leader="none"/>
        </w:tabs>
        <w:spacing w:line="372" w:lineRule="auto" w:before="0" w:after="0"/>
        <w:ind w:left="1188" w:right="801" w:hanging="677"/>
        <w:jc w:val="left"/>
        <w:rPr>
          <w:b/>
          <w:sz w:val="22"/>
        </w:rPr>
      </w:pPr>
      <w:r>
        <w:rPr>
          <w:b/>
          <w:sz w:val="22"/>
        </w:rPr>
        <w:t>RECOGNIZES the possibility to review the Scale of Assessment every five years in the light of changes likely to occur in the factors agreed on for the establishment of the Scale of Assessment;</w:t>
      </w:r>
    </w:p>
    <w:p>
      <w:pPr>
        <w:pStyle w:val="BodyText"/>
        <w:spacing w:before="4"/>
        <w:rPr>
          <w:sz w:val="33"/>
        </w:rPr>
      </w:pPr>
    </w:p>
    <w:p>
      <w:pPr>
        <w:pStyle w:val="ListParagraph"/>
        <w:numPr>
          <w:ilvl w:val="0"/>
          <w:numId w:val="1"/>
        </w:numPr>
        <w:tabs>
          <w:tab w:pos="1188" w:val="left" w:leader="none"/>
          <w:tab w:pos="1189" w:val="left" w:leader="none"/>
        </w:tabs>
        <w:spacing w:line="369" w:lineRule="auto" w:before="0" w:after="0"/>
        <w:ind w:left="1188" w:right="509" w:hanging="677"/>
        <w:jc w:val="left"/>
        <w:rPr>
          <w:b/>
          <w:sz w:val="22"/>
        </w:rPr>
      </w:pPr>
      <w:r>
        <w:rPr>
          <w:b/>
          <w:sz w:val="22"/>
        </w:rPr>
        <w:t>DECIDES to adopt the Scale of Assessment proposed by the Standing Committee on the Review of the scale of assessment of the Organization of African Unity as contained in Table 6 of Document CM/1465 (XLVII);</w:t>
      </w:r>
    </w:p>
    <w:p>
      <w:pPr>
        <w:spacing w:after="0" w:line="369" w:lineRule="auto"/>
        <w:jc w:val="left"/>
        <w:rPr>
          <w:sz w:val="22"/>
        </w:rPr>
        <w:sectPr>
          <w:type w:val="continuous"/>
          <w:pgSz w:w="12240" w:h="15840"/>
          <w:pgMar w:top="620" w:bottom="280" w:left="1720" w:right="1720"/>
        </w:sectPr>
      </w:pPr>
    </w:p>
    <w:p>
      <w:pPr>
        <w:pStyle w:val="ListParagraph"/>
        <w:numPr>
          <w:ilvl w:val="0"/>
          <w:numId w:val="1"/>
        </w:numPr>
        <w:tabs>
          <w:tab w:pos="1188" w:val="left" w:leader="none"/>
          <w:tab w:pos="1189" w:val="left" w:leader="none"/>
        </w:tabs>
        <w:spacing w:line="367" w:lineRule="auto" w:before="82" w:after="0"/>
        <w:ind w:left="1188" w:right="509" w:hanging="677"/>
        <w:jc w:val="left"/>
        <w:rPr>
          <w:b/>
          <w:sz w:val="22"/>
        </w:rPr>
      </w:pPr>
      <w:r>
        <w:rPr>
          <w:b/>
          <w:sz w:val="22"/>
        </w:rPr>
        <w:t>CHARGES the Secretary-General to implement the new Scale of Contributions which will apply for a period of five years beginning June1, </w:t>
      </w:r>
      <w:r>
        <w:rPr>
          <w:b/>
          <w:spacing w:val="-2"/>
          <w:sz w:val="22"/>
        </w:rPr>
        <w:t>1988.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r>
        <w:rPr/>
        <w:pict>
          <v:rect style="position:absolute;margin-left:110.160004pt;margin-top:11.79854pt;width:393.12pt;height:1.2pt;mso-position-horizontal-relative:page;mso-position-vertical-relative:paragraph;z-index:-15728640;mso-wrap-distance-left:0;mso-wrap-distance-right:0" id="docshape1" filled="true" fillcolor="#000000" stroked="false">
            <v:fill type="solid"/>
            <w10:wrap type="topAndBottom"/>
          </v:rect>
        </w:pict>
      </w:r>
    </w:p>
    <w:p>
      <w:pPr>
        <w:pStyle w:val="BodyText"/>
        <w:spacing w:before="6"/>
        <w:rPr>
          <w:sz w:val="25"/>
        </w:rPr>
      </w:pPr>
    </w:p>
    <w:p>
      <w:pPr>
        <w:pStyle w:val="BodyText"/>
        <w:spacing w:before="96"/>
        <w:ind w:left="511"/>
      </w:pPr>
      <w:r>
        <w:rPr/>
        <w:t>Reservations</w:t>
      </w:r>
      <w:r>
        <w:rPr>
          <w:spacing w:val="10"/>
        </w:rPr>
        <w:t> </w:t>
      </w:r>
      <w:r>
        <w:rPr/>
        <w:t>expressed</w:t>
      </w:r>
      <w:r>
        <w:rPr>
          <w:spacing w:val="11"/>
        </w:rPr>
        <w:t> </w:t>
      </w:r>
      <w:r>
        <w:rPr>
          <w:spacing w:val="-5"/>
        </w:rPr>
        <w:t>by:</w:t>
      </w:r>
    </w:p>
    <w:p>
      <w:pPr>
        <w:pStyle w:val="BodyText"/>
        <w:rPr>
          <w:sz w:val="24"/>
        </w:rPr>
      </w:pPr>
    </w:p>
    <w:p>
      <w:pPr>
        <w:pStyle w:val="BodyText"/>
        <w:spacing w:before="7"/>
        <w:rPr>
          <w:sz w:val="21"/>
        </w:rPr>
      </w:pPr>
    </w:p>
    <w:p>
      <w:pPr>
        <w:pStyle w:val="BodyText"/>
        <w:tabs>
          <w:tab w:pos="3219" w:val="left" w:leader="none"/>
        </w:tabs>
        <w:spacing w:line="374" w:lineRule="auto"/>
        <w:ind w:left="512" w:right="3227"/>
      </w:pPr>
      <w:r>
        <w:rPr>
          <w:spacing w:val="-2"/>
        </w:rPr>
        <w:t>Gabon:</w:t>
      </w:r>
      <w:r>
        <w:rPr/>
        <w:tab/>
        <w:t>On the whole Resolution Cote D’Ivoire,</w:t>
      </w:r>
    </w:p>
    <w:p>
      <w:pPr>
        <w:pStyle w:val="BodyText"/>
        <w:spacing w:line="246" w:lineRule="exact"/>
        <w:ind w:left="512"/>
      </w:pPr>
      <w:r>
        <w:rPr/>
        <w:t>Cape</w:t>
      </w:r>
      <w:r>
        <w:rPr>
          <w:spacing w:val="11"/>
        </w:rPr>
        <w:t> </w:t>
      </w:r>
      <w:r>
        <w:rPr/>
        <w:t>Verde,</w:t>
      </w:r>
      <w:r>
        <w:rPr>
          <w:spacing w:val="12"/>
        </w:rPr>
        <w:t> </w:t>
      </w:r>
      <w:r>
        <w:rPr>
          <w:spacing w:val="-2"/>
        </w:rPr>
        <w:t>Libya</w:t>
      </w:r>
    </w:p>
    <w:p>
      <w:pPr>
        <w:pStyle w:val="BodyText"/>
        <w:tabs>
          <w:tab w:pos="2542" w:val="left" w:leader="none"/>
        </w:tabs>
        <w:spacing w:before="136"/>
        <w:ind w:left="512"/>
      </w:pPr>
      <w:r>
        <w:rPr/>
        <w:t>and</w:t>
      </w:r>
      <w:r>
        <w:rPr>
          <w:spacing w:val="8"/>
        </w:rPr>
        <w:t> </w:t>
      </w:r>
      <w:r>
        <w:rPr>
          <w:spacing w:val="-2"/>
        </w:rPr>
        <w:t>Tunisia;</w:t>
      </w:r>
      <w:r>
        <w:rPr/>
        <w:tab/>
        <w:t>Operative</w:t>
      </w:r>
      <w:r>
        <w:rPr>
          <w:spacing w:val="11"/>
        </w:rPr>
        <w:t> </w:t>
      </w:r>
      <w:r>
        <w:rPr/>
        <w:t>Paragraph</w:t>
      </w:r>
      <w:r>
        <w:rPr>
          <w:spacing w:val="9"/>
        </w:rPr>
        <w:t> </w:t>
      </w:r>
      <w:r>
        <w:rPr>
          <w:spacing w:val="-5"/>
        </w:rPr>
        <w:t>2.</w:t>
      </w:r>
    </w:p>
    <w:sectPr>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09"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FORTY-SEVENTH ORDINARY SESSION OF THE COUNCIL OF MINISTERS</dc:title>
  <dcterms:created xsi:type="dcterms:W3CDTF">2023-04-11T21:58:53Z</dcterms:created>
  <dcterms:modified xsi:type="dcterms:W3CDTF">2023-04-11T21:58:53Z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