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5"/>
        <w:ind w:right="636"/>
        <w:jc w:val="right"/>
      </w:pPr>
      <w:r>
        <w:rPr/>
        <w:t>CM/Res.1155</w:t>
      </w:r>
      <w:r>
        <w:rPr>
          <w:spacing w:val="22"/>
        </w:rPr>
        <w:t> </w:t>
      </w:r>
      <w:r>
        <w:rPr>
          <w:spacing w:val="-2"/>
        </w:rPr>
        <w:t>(XLVIII)</w:t>
      </w:r>
    </w:p>
    <w:p>
      <w:pPr>
        <w:pStyle w:val="BodyText"/>
        <w:rPr>
          <w:sz w:val="24"/>
        </w:rPr>
      </w:pPr>
    </w:p>
    <w:p>
      <w:pPr>
        <w:pStyle w:val="BodyText"/>
      </w:pPr>
    </w:p>
    <w:p>
      <w:pPr>
        <w:pStyle w:val="BodyText"/>
        <w:spacing w:before="1"/>
        <w:ind w:left="1326" w:right="1302"/>
        <w:jc w:val="center"/>
      </w:pPr>
      <w:r>
        <w:rPr>
          <w:u w:val="single"/>
        </w:rPr>
        <w:t>RESOLUTION</w:t>
      </w:r>
      <w:r>
        <w:rPr>
          <w:spacing w:val="10"/>
          <w:u w:val="single"/>
        </w:rPr>
        <w:t> </w:t>
      </w:r>
      <w:r>
        <w:rPr>
          <w:u w:val="single"/>
        </w:rPr>
        <w:t>ON</w:t>
      </w:r>
      <w:r>
        <w:rPr>
          <w:spacing w:val="12"/>
          <w:u w:val="single"/>
        </w:rPr>
        <w:t> </w:t>
      </w:r>
      <w:r>
        <w:rPr>
          <w:u w:val="single"/>
        </w:rPr>
        <w:t>THE</w:t>
      </w:r>
      <w:r>
        <w:rPr>
          <w:spacing w:val="11"/>
          <w:u w:val="single"/>
        </w:rPr>
        <w:t> </w:t>
      </w:r>
      <w:r>
        <w:rPr>
          <w:u w:val="single"/>
        </w:rPr>
        <w:t>SITUATION</w:t>
      </w:r>
      <w:r>
        <w:rPr>
          <w:spacing w:val="12"/>
          <w:u w:val="single"/>
        </w:rPr>
        <w:t> </w:t>
      </w:r>
      <w:r>
        <w:rPr>
          <w:u w:val="single"/>
        </w:rPr>
        <w:t>IN</w:t>
      </w:r>
      <w:r>
        <w:rPr>
          <w:spacing w:val="11"/>
          <w:u w:val="single"/>
        </w:rPr>
        <w:t> </w:t>
      </w:r>
      <w:r>
        <w:rPr>
          <w:u w:val="single"/>
        </w:rPr>
        <w:t>THE</w:t>
      </w:r>
      <w:r>
        <w:rPr>
          <w:spacing w:val="11"/>
          <w:u w:val="single"/>
        </w:rPr>
        <w:t> </w:t>
      </w:r>
      <w:r>
        <w:rPr>
          <w:u w:val="single"/>
        </w:rPr>
        <w:t>MIDDLE</w:t>
      </w:r>
      <w:r>
        <w:rPr>
          <w:spacing w:val="10"/>
          <w:u w:val="single"/>
        </w:rPr>
        <w:t> </w:t>
      </w:r>
      <w:r>
        <w:rPr>
          <w:spacing w:val="-4"/>
          <w:u w:val="single"/>
        </w:rPr>
        <w:t>EAST</w:t>
      </w:r>
    </w:p>
    <w:p>
      <w:pPr>
        <w:pStyle w:val="BodyText"/>
        <w:rPr>
          <w:sz w:val="20"/>
        </w:rPr>
      </w:pPr>
    </w:p>
    <w:p>
      <w:pPr>
        <w:pStyle w:val="BodyText"/>
        <w:spacing w:before="10"/>
        <w:rPr>
          <w:sz w:val="16"/>
        </w:rPr>
      </w:pPr>
    </w:p>
    <w:p>
      <w:pPr>
        <w:pStyle w:val="BodyText"/>
        <w:spacing w:line="372" w:lineRule="auto" w:before="95"/>
        <w:ind w:left="512" w:right="907"/>
        <w:jc w:val="both"/>
      </w:pPr>
      <w:r>
        <w:rPr/>
        <w:t>The Council of Ministers of the Organization of African Unity, meeting in its Forty-eighth Ordinary Session, in Addis Ababa, Ethiopia, from 19 to 23 May </w:t>
      </w:r>
      <w:r>
        <w:rPr>
          <w:spacing w:val="-2"/>
        </w:rPr>
        <w:t>1988,</w:t>
      </w:r>
    </w:p>
    <w:p>
      <w:pPr>
        <w:pStyle w:val="BodyText"/>
        <w:spacing w:before="4"/>
        <w:rPr>
          <w:sz w:val="33"/>
        </w:rPr>
      </w:pPr>
    </w:p>
    <w:p>
      <w:pPr>
        <w:pStyle w:val="BodyText"/>
        <w:spacing w:line="364" w:lineRule="auto" w:before="1"/>
        <w:ind w:left="512" w:right="695"/>
      </w:pPr>
      <w:r>
        <w:rPr>
          <w:u w:val="single"/>
        </w:rPr>
        <w:t>Having considered</w:t>
      </w:r>
      <w:r>
        <w:rPr/>
        <w:t> the report of the Secretary-General of the Organization of African Unity on the Middle East as contained in Document CM/1496 (XLCIII),</w:t>
      </w:r>
    </w:p>
    <w:p>
      <w:pPr>
        <w:pStyle w:val="BodyText"/>
        <w:spacing w:before="6"/>
        <w:rPr>
          <w:sz w:val="34"/>
        </w:rPr>
      </w:pPr>
    </w:p>
    <w:p>
      <w:pPr>
        <w:pStyle w:val="BodyText"/>
        <w:spacing w:line="369" w:lineRule="auto"/>
        <w:ind w:left="512" w:right="695"/>
      </w:pPr>
      <w:r>
        <w:rPr>
          <w:u w:val="single"/>
        </w:rPr>
        <w:t>Guided by</w:t>
      </w:r>
      <w:r>
        <w:rPr/>
        <w:t> the principles and purposes of the Charters of the OAU and the United Nations, and by the common determination of the African and Arab peoples to fight jointly to safeguard their freedom,</w:t>
      </w:r>
    </w:p>
    <w:p>
      <w:pPr>
        <w:pStyle w:val="BodyText"/>
        <w:spacing w:before="7"/>
        <w:rPr>
          <w:sz w:val="33"/>
        </w:rPr>
      </w:pPr>
    </w:p>
    <w:p>
      <w:pPr>
        <w:pStyle w:val="BodyText"/>
        <w:spacing w:line="369" w:lineRule="auto"/>
        <w:ind w:left="512" w:right="509" w:hanging="1"/>
      </w:pPr>
      <w:r>
        <w:rPr>
          <w:u w:val="single"/>
        </w:rPr>
        <w:t>Recalling</w:t>
      </w:r>
      <w:r>
        <w:rPr/>
        <w:t> the successive resolutions adopted by previous sessions of the Assembly of</w:t>
      </w:r>
      <w:r>
        <w:rPr>
          <w:spacing w:val="21"/>
        </w:rPr>
        <w:t> </w:t>
      </w:r>
      <w:r>
        <w:rPr/>
        <w:t>Heads</w:t>
      </w:r>
      <w:r>
        <w:rPr>
          <w:spacing w:val="20"/>
        </w:rPr>
        <w:t> </w:t>
      </w:r>
      <w:r>
        <w:rPr/>
        <w:t>of</w:t>
      </w:r>
      <w:r>
        <w:rPr>
          <w:spacing w:val="21"/>
        </w:rPr>
        <w:t> </w:t>
      </w:r>
      <w:r>
        <w:rPr/>
        <w:t>State</w:t>
      </w:r>
      <w:r>
        <w:rPr>
          <w:spacing w:val="20"/>
        </w:rPr>
        <w:t> </w:t>
      </w:r>
      <w:r>
        <w:rPr/>
        <w:t>and</w:t>
      </w:r>
      <w:r>
        <w:rPr>
          <w:spacing w:val="20"/>
        </w:rPr>
        <w:t> </w:t>
      </w:r>
      <w:r>
        <w:rPr/>
        <w:t>Government,</w:t>
      </w:r>
      <w:r>
        <w:rPr>
          <w:spacing w:val="21"/>
        </w:rPr>
        <w:t> </w:t>
      </w:r>
      <w:r>
        <w:rPr/>
        <w:t>and</w:t>
      </w:r>
      <w:r>
        <w:rPr>
          <w:spacing w:val="20"/>
        </w:rPr>
        <w:t> </w:t>
      </w:r>
      <w:r>
        <w:rPr/>
        <w:t>of</w:t>
      </w:r>
      <w:r>
        <w:rPr>
          <w:spacing w:val="21"/>
        </w:rPr>
        <w:t> </w:t>
      </w:r>
      <w:r>
        <w:rPr/>
        <w:t>the</w:t>
      </w:r>
      <w:r>
        <w:rPr>
          <w:spacing w:val="20"/>
        </w:rPr>
        <w:t> </w:t>
      </w:r>
      <w:r>
        <w:rPr/>
        <w:t>Council</w:t>
      </w:r>
      <w:r>
        <w:rPr>
          <w:spacing w:val="20"/>
        </w:rPr>
        <w:t> </w:t>
      </w:r>
      <w:r>
        <w:rPr/>
        <w:t>of</w:t>
      </w:r>
      <w:r>
        <w:rPr>
          <w:spacing w:val="21"/>
        </w:rPr>
        <w:t> </w:t>
      </w:r>
      <w:r>
        <w:rPr/>
        <w:t>Ministers</w:t>
      </w:r>
      <w:r>
        <w:rPr>
          <w:spacing w:val="20"/>
        </w:rPr>
        <w:t> </w:t>
      </w:r>
      <w:r>
        <w:rPr/>
        <w:t>of</w:t>
      </w:r>
      <w:r>
        <w:rPr>
          <w:spacing w:val="21"/>
        </w:rPr>
        <w:t> </w:t>
      </w:r>
      <w:r>
        <w:rPr/>
        <w:t>the</w:t>
      </w:r>
      <w:r>
        <w:rPr>
          <w:spacing w:val="20"/>
        </w:rPr>
        <w:t> </w:t>
      </w:r>
      <w:r>
        <w:rPr/>
        <w:t>OAU on the situation in the Middle East;</w:t>
      </w:r>
    </w:p>
    <w:p>
      <w:pPr>
        <w:pStyle w:val="BodyText"/>
        <w:rPr>
          <w:sz w:val="34"/>
        </w:rPr>
      </w:pPr>
    </w:p>
    <w:p>
      <w:pPr>
        <w:pStyle w:val="BodyText"/>
        <w:spacing w:line="369" w:lineRule="auto"/>
        <w:ind w:left="511" w:right="695"/>
      </w:pPr>
      <w:r>
        <w:rPr>
          <w:u w:val="single"/>
        </w:rPr>
        <w:t>Noting with deep concern</w:t>
      </w:r>
      <w:r>
        <w:rPr/>
        <w:t> that in spite of the many resolutions adopted by the United Nations General Assembly, the Security Council and the Organization of African Unity urging Israel to withdraw from Arab territories occupied since 1967, including Jerusalem, not only has Israel persistently refused to</w:t>
      </w:r>
      <w:r>
        <w:rPr>
          <w:spacing w:val="31"/>
        </w:rPr>
        <w:t> </w:t>
      </w:r>
      <w:r>
        <w:rPr/>
        <w:t>comply</w:t>
      </w:r>
      <w:r>
        <w:rPr>
          <w:spacing w:val="80"/>
        </w:rPr>
        <w:t> </w:t>
      </w:r>
      <w:r>
        <w:rPr/>
        <w:t>with these resolutions but continued to pursue its expansionist and occupation </w:t>
      </w:r>
      <w:r>
        <w:rPr>
          <w:spacing w:val="-2"/>
        </w:rPr>
        <w:t>policy;</w:t>
      </w:r>
    </w:p>
    <w:p>
      <w:pPr>
        <w:pStyle w:val="BodyText"/>
        <w:spacing w:before="5"/>
        <w:rPr>
          <w:sz w:val="33"/>
        </w:rPr>
      </w:pPr>
    </w:p>
    <w:p>
      <w:pPr>
        <w:pStyle w:val="BodyText"/>
        <w:spacing w:line="369" w:lineRule="auto"/>
        <w:ind w:left="512" w:right="695" w:hanging="1"/>
      </w:pPr>
      <w:r>
        <w:rPr>
          <w:u w:val="single"/>
        </w:rPr>
        <w:t>Reaffirming</w:t>
      </w:r>
      <w:r>
        <w:rPr/>
        <w:t> that violation of other countries’</w:t>
      </w:r>
      <w:r>
        <w:rPr>
          <w:spacing w:val="-19"/>
        </w:rPr>
        <w:t> </w:t>
      </w:r>
      <w:r>
        <w:rPr/>
        <w:t>space, waters, and lands by Israel to be acts threatening peace and security,</w:t>
      </w:r>
    </w:p>
    <w:p>
      <w:pPr>
        <w:pStyle w:val="BodyText"/>
        <w:spacing w:before="7"/>
        <w:rPr>
          <w:sz w:val="33"/>
        </w:rPr>
      </w:pPr>
    </w:p>
    <w:p>
      <w:pPr>
        <w:pStyle w:val="BodyText"/>
        <w:spacing w:line="374" w:lineRule="auto" w:before="1"/>
        <w:ind w:left="512" w:right="695" w:hanging="1"/>
      </w:pPr>
      <w:r>
        <w:rPr>
          <w:u w:val="single"/>
        </w:rPr>
        <w:t>Deploring</w:t>
      </w:r>
      <w:r>
        <w:rPr/>
        <w:t> the systematic obstruction by Israel of all efforts made towards reaching a peaceful solution of the problem,</w:t>
      </w:r>
    </w:p>
    <w:p>
      <w:pPr>
        <w:pStyle w:val="BodyText"/>
        <w:spacing w:before="9"/>
        <w:rPr>
          <w:sz w:val="32"/>
        </w:rPr>
      </w:pPr>
    </w:p>
    <w:p>
      <w:pPr>
        <w:pStyle w:val="BodyText"/>
        <w:spacing w:line="372" w:lineRule="auto"/>
        <w:ind w:left="512" w:right="695" w:hanging="1"/>
      </w:pPr>
      <w:r>
        <w:rPr>
          <w:u w:val="single"/>
        </w:rPr>
        <w:t>Noting with concern</w:t>
      </w:r>
      <w:r>
        <w:rPr/>
        <w:t> that the collusion between the Zionist regime of Israel and the </w:t>
      </w:r>
      <w:r>
        <w:rPr>
          <w:u w:val="single"/>
        </w:rPr>
        <w:t>apartheid</w:t>
      </w:r>
      <w:r>
        <w:rPr/>
        <w:t> regime of South Africa is aimed at promoting the policy of terrorism and liquidation of the Palestinians and Arabs in the occupied</w:t>
      </w:r>
    </w:p>
    <w:p>
      <w:pPr>
        <w:spacing w:after="0" w:line="372" w:lineRule="auto"/>
        <w:sectPr>
          <w:type w:val="continuous"/>
          <w:pgSz w:w="12240" w:h="15840"/>
          <w:pgMar w:top="540" w:bottom="280" w:left="1720" w:right="1720"/>
        </w:sectPr>
      </w:pPr>
    </w:p>
    <w:p>
      <w:pPr>
        <w:pStyle w:val="BodyText"/>
        <w:spacing w:line="369" w:lineRule="auto" w:before="75"/>
        <w:ind w:left="512" w:right="695" w:hanging="1"/>
      </w:pPr>
      <w:r>
        <w:rPr/>
        <w:t>territories on one hand and the majority of the black population of South Africa and Namibia on the other,</w:t>
      </w:r>
    </w:p>
    <w:p>
      <w:pPr>
        <w:pStyle w:val="BodyText"/>
        <w:spacing w:before="8"/>
        <w:rPr>
          <w:sz w:val="33"/>
        </w:rPr>
      </w:pPr>
    </w:p>
    <w:p>
      <w:pPr>
        <w:pStyle w:val="BodyText"/>
        <w:spacing w:line="369" w:lineRule="auto"/>
        <w:ind w:left="512" w:right="695"/>
      </w:pPr>
      <w:r>
        <w:rPr>
          <w:u w:val="single"/>
        </w:rPr>
        <w:t>Noting with deep concern</w:t>
      </w:r>
      <w:r>
        <w:rPr/>
        <w:t> the Israeli attempts to penetrate the African continent through the United Nations International Organizations, such as the United Nations Development Programme (UNDP) and other Establishments:</w:t>
      </w:r>
    </w:p>
    <w:p>
      <w:pPr>
        <w:pStyle w:val="BodyText"/>
        <w:rPr>
          <w:sz w:val="34"/>
        </w:rPr>
      </w:pPr>
    </w:p>
    <w:p>
      <w:pPr>
        <w:pStyle w:val="ListParagraph"/>
        <w:numPr>
          <w:ilvl w:val="0"/>
          <w:numId w:val="1"/>
        </w:numPr>
        <w:tabs>
          <w:tab w:pos="1188" w:val="left" w:leader="none"/>
          <w:tab w:pos="1189" w:val="left" w:leader="none"/>
        </w:tabs>
        <w:spacing w:line="369" w:lineRule="auto" w:before="0" w:after="0"/>
        <w:ind w:left="1188" w:right="528" w:hanging="620"/>
        <w:jc w:val="left"/>
        <w:rPr>
          <w:b/>
          <w:sz w:val="22"/>
        </w:rPr>
      </w:pPr>
      <w:r>
        <w:rPr>
          <w:b/>
          <w:sz w:val="22"/>
        </w:rPr>
        <w:t>REAFFIRMS all previous resolutions adopted by the Assembly of Heads</w:t>
      </w:r>
      <w:r>
        <w:rPr>
          <w:b/>
          <w:spacing w:val="80"/>
          <w:sz w:val="22"/>
        </w:rPr>
        <w:t> </w:t>
      </w:r>
      <w:r>
        <w:rPr>
          <w:b/>
          <w:sz w:val="22"/>
        </w:rPr>
        <w:t>of State and Government and the Council of Ministers of the OAU and its total and effective support for the Palestinian people under the dynamic leadership of its sole and legitimate representative, the Palestine</w:t>
      </w:r>
      <w:r>
        <w:rPr>
          <w:b/>
          <w:spacing w:val="80"/>
          <w:sz w:val="22"/>
        </w:rPr>
        <w:t> </w:t>
      </w:r>
      <w:r>
        <w:rPr>
          <w:b/>
          <w:sz w:val="22"/>
        </w:rPr>
        <w:t>Liberation Organization;</w:t>
      </w:r>
    </w:p>
    <w:p>
      <w:pPr>
        <w:pStyle w:val="BodyText"/>
        <w:spacing w:before="5"/>
        <w:rPr>
          <w:sz w:val="33"/>
        </w:rPr>
      </w:pPr>
    </w:p>
    <w:p>
      <w:pPr>
        <w:pStyle w:val="ListParagraph"/>
        <w:numPr>
          <w:ilvl w:val="0"/>
          <w:numId w:val="1"/>
        </w:numPr>
        <w:tabs>
          <w:tab w:pos="1188" w:val="left" w:leader="none"/>
          <w:tab w:pos="1189" w:val="left" w:leader="none"/>
        </w:tabs>
        <w:spacing w:line="369" w:lineRule="auto" w:before="1" w:after="0"/>
        <w:ind w:left="1188" w:right="684" w:hanging="620"/>
        <w:jc w:val="left"/>
        <w:rPr>
          <w:b/>
          <w:sz w:val="22"/>
        </w:rPr>
      </w:pPr>
      <w:r>
        <w:rPr>
          <w:b/>
          <w:sz w:val="22"/>
        </w:rPr>
        <w:t>FURTHER REAFFIRMS its support for the Arab countries, victims of Israeli aggression, and its support for the Palestinian people in their just struggle to recover their usurped rights and their occupied territories;</w:t>
      </w:r>
    </w:p>
    <w:p>
      <w:pPr>
        <w:pStyle w:val="BodyText"/>
        <w:spacing w:before="6"/>
        <w:rPr>
          <w:sz w:val="33"/>
        </w:rPr>
      </w:pPr>
    </w:p>
    <w:p>
      <w:pPr>
        <w:pStyle w:val="ListParagraph"/>
        <w:numPr>
          <w:ilvl w:val="0"/>
          <w:numId w:val="1"/>
        </w:numPr>
        <w:tabs>
          <w:tab w:pos="1188" w:val="left" w:leader="none"/>
          <w:tab w:pos="1189" w:val="left" w:leader="none"/>
        </w:tabs>
        <w:spacing w:line="372" w:lineRule="auto" w:before="1" w:after="0"/>
        <w:ind w:left="1188" w:right="910" w:hanging="620"/>
        <w:jc w:val="left"/>
        <w:rPr>
          <w:b/>
          <w:sz w:val="22"/>
        </w:rPr>
      </w:pPr>
      <w:r>
        <w:rPr>
          <w:b/>
          <w:sz w:val="22"/>
        </w:rPr>
        <w:t>STRONGLY CONDEMNS Israel, the occupying power, for not complying with the provisions of the Fourth Geneva Convention of 12 August 1949, on the Protection of Civilian Persons in Time of War;</w:t>
      </w:r>
    </w:p>
    <w:p>
      <w:pPr>
        <w:pStyle w:val="BodyText"/>
        <w:spacing w:before="10"/>
        <w:rPr>
          <w:sz w:val="32"/>
        </w:rPr>
      </w:pPr>
    </w:p>
    <w:p>
      <w:pPr>
        <w:pStyle w:val="ListParagraph"/>
        <w:numPr>
          <w:ilvl w:val="0"/>
          <w:numId w:val="1"/>
        </w:numPr>
        <w:tabs>
          <w:tab w:pos="1188" w:val="left" w:leader="none"/>
          <w:tab w:pos="1189" w:val="left" w:leader="none"/>
        </w:tabs>
        <w:spacing w:line="372" w:lineRule="auto" w:before="0" w:after="0"/>
        <w:ind w:left="1188" w:right="627" w:hanging="620"/>
        <w:jc w:val="left"/>
        <w:rPr>
          <w:b/>
          <w:sz w:val="22"/>
        </w:rPr>
      </w:pPr>
      <w:r>
        <w:rPr>
          <w:b/>
          <w:sz w:val="22"/>
        </w:rPr>
        <w:t>CONDEMNS VIGOROUSLY the establishment of settlements by Israel</w:t>
      </w:r>
      <w:r>
        <w:rPr>
          <w:b/>
          <w:spacing w:val="40"/>
          <w:sz w:val="22"/>
        </w:rPr>
        <w:t> </w:t>
      </w:r>
      <w:r>
        <w:rPr>
          <w:b/>
          <w:sz w:val="22"/>
        </w:rPr>
        <w:t>in Palestine and other occupied territories and the Judaisation of the city of Jerusalem and its proclamation as its capital;</w:t>
      </w:r>
    </w:p>
    <w:p>
      <w:pPr>
        <w:pStyle w:val="BodyText"/>
        <w:spacing w:before="4"/>
        <w:rPr>
          <w:sz w:val="33"/>
        </w:rPr>
      </w:pPr>
    </w:p>
    <w:p>
      <w:pPr>
        <w:pStyle w:val="ListParagraph"/>
        <w:numPr>
          <w:ilvl w:val="0"/>
          <w:numId w:val="1"/>
        </w:numPr>
        <w:tabs>
          <w:tab w:pos="1188" w:val="left" w:leader="none"/>
          <w:tab w:pos="1189" w:val="left" w:leader="none"/>
        </w:tabs>
        <w:spacing w:line="369" w:lineRule="auto" w:before="1" w:after="0"/>
        <w:ind w:left="1188" w:right="594" w:hanging="620"/>
        <w:jc w:val="left"/>
        <w:rPr>
          <w:b/>
          <w:sz w:val="22"/>
        </w:rPr>
      </w:pPr>
      <w:r>
        <w:rPr>
          <w:b/>
          <w:sz w:val="22"/>
        </w:rPr>
        <w:t>MAKES AN URGENT APPEAL to the international community to exert an effective pressure on Israel in all fields until it complies with the principles of International Law and put an end to its occupation of Palestinian and Arab territories;</w:t>
      </w:r>
    </w:p>
    <w:p>
      <w:pPr>
        <w:pStyle w:val="BodyText"/>
        <w:spacing w:before="10"/>
        <w:rPr>
          <w:sz w:val="33"/>
        </w:rPr>
      </w:pPr>
    </w:p>
    <w:p>
      <w:pPr>
        <w:pStyle w:val="ListParagraph"/>
        <w:numPr>
          <w:ilvl w:val="0"/>
          <w:numId w:val="1"/>
        </w:numPr>
        <w:tabs>
          <w:tab w:pos="1188" w:val="left" w:leader="none"/>
          <w:tab w:pos="1189" w:val="left" w:leader="none"/>
        </w:tabs>
        <w:spacing w:line="367" w:lineRule="auto" w:before="1" w:after="0"/>
        <w:ind w:left="1188" w:right="698" w:hanging="620"/>
        <w:jc w:val="left"/>
        <w:rPr>
          <w:b/>
          <w:sz w:val="22"/>
        </w:rPr>
      </w:pPr>
      <w:r>
        <w:rPr>
          <w:b/>
          <w:sz w:val="22"/>
        </w:rPr>
        <w:t>REITERATES ITS REQUEST to the Security Council to take the necessary measures to secure international protection by the Palestinian people in the occupied territories until they are able to practice their national rights;</w:t>
      </w:r>
    </w:p>
    <w:p>
      <w:pPr>
        <w:spacing w:after="0" w:line="367" w:lineRule="auto"/>
        <w:jc w:val="left"/>
        <w:rPr>
          <w:sz w:val="22"/>
        </w:rPr>
        <w:sectPr>
          <w:pgSz w:w="12240" w:h="15840"/>
          <w:pgMar w:top="540" w:bottom="280" w:left="1720" w:right="1720"/>
        </w:sectPr>
      </w:pPr>
    </w:p>
    <w:p>
      <w:pPr>
        <w:pStyle w:val="ListParagraph"/>
        <w:numPr>
          <w:ilvl w:val="0"/>
          <w:numId w:val="1"/>
        </w:numPr>
        <w:tabs>
          <w:tab w:pos="1188" w:val="left" w:leader="none"/>
          <w:tab w:pos="1189" w:val="left" w:leader="none"/>
        </w:tabs>
        <w:spacing w:line="369" w:lineRule="auto" w:before="75" w:after="0"/>
        <w:ind w:left="1188" w:right="738" w:hanging="620"/>
        <w:jc w:val="left"/>
        <w:rPr>
          <w:b/>
          <w:sz w:val="22"/>
        </w:rPr>
      </w:pPr>
      <w:r>
        <w:rPr>
          <w:b/>
          <w:sz w:val="22"/>
        </w:rPr>
        <w:t>STRONGLY CONDEMNS all agreements concluded separately and all commitments made individually which constitute a flagrant violation of the rights of the Palestinian people and which hinder the fulfillment of their aspirations;</w:t>
      </w:r>
    </w:p>
    <w:p>
      <w:pPr>
        <w:pStyle w:val="BodyText"/>
        <w:spacing w:before="6"/>
        <w:rPr>
          <w:sz w:val="33"/>
        </w:rPr>
      </w:pPr>
    </w:p>
    <w:p>
      <w:pPr>
        <w:pStyle w:val="ListParagraph"/>
        <w:numPr>
          <w:ilvl w:val="0"/>
          <w:numId w:val="1"/>
        </w:numPr>
        <w:tabs>
          <w:tab w:pos="1188" w:val="left" w:leader="none"/>
          <w:tab w:pos="1189" w:val="left" w:leader="none"/>
        </w:tabs>
        <w:spacing w:line="369" w:lineRule="auto" w:before="0" w:after="0"/>
        <w:ind w:left="1188" w:right="582" w:hanging="620"/>
        <w:jc w:val="left"/>
        <w:rPr>
          <w:b/>
          <w:sz w:val="22"/>
        </w:rPr>
      </w:pPr>
      <w:r>
        <w:rPr>
          <w:b/>
          <w:sz w:val="22"/>
        </w:rPr>
        <w:t>*STRONGLY SUPPORTS the convening of an International Conference on the Situation in the Middle East under the auspices of the United Nations with the participation of the Permanent Members of the Security Council as well as all the concerned parties including the Palestine Liberation Organization, the sole legitimate representative of the Palestinian people as an independent party on equal footing with other </w:t>
      </w:r>
      <w:r>
        <w:rPr>
          <w:b/>
          <w:spacing w:val="-2"/>
          <w:sz w:val="22"/>
        </w:rPr>
        <w:t>parties;</w:t>
      </w:r>
    </w:p>
    <w:p>
      <w:pPr>
        <w:pStyle w:val="BodyText"/>
        <w:spacing w:before="9"/>
        <w:rPr>
          <w:sz w:val="33"/>
        </w:rPr>
      </w:pPr>
    </w:p>
    <w:p>
      <w:pPr>
        <w:pStyle w:val="ListParagraph"/>
        <w:numPr>
          <w:ilvl w:val="0"/>
          <w:numId w:val="1"/>
        </w:numPr>
        <w:tabs>
          <w:tab w:pos="1188" w:val="left" w:leader="none"/>
          <w:tab w:pos="1189" w:val="left" w:leader="none"/>
        </w:tabs>
        <w:spacing w:line="369" w:lineRule="auto" w:before="0" w:after="0"/>
        <w:ind w:left="1188" w:right="551" w:hanging="620"/>
        <w:jc w:val="left"/>
        <w:rPr>
          <w:b/>
          <w:sz w:val="22"/>
        </w:rPr>
      </w:pPr>
      <w:r>
        <w:rPr>
          <w:b/>
          <w:sz w:val="22"/>
        </w:rPr>
        <w:t>STRONGLY COMMENDS the militant role of the Lebanese people in confronting Israeli aggressions, and condemns the aggression perpetrated against Lebanon and the continued occupation of its territories;</w:t>
      </w:r>
    </w:p>
    <w:p>
      <w:pPr>
        <w:pStyle w:val="BodyText"/>
        <w:spacing w:before="7"/>
        <w:rPr>
          <w:sz w:val="33"/>
        </w:rPr>
      </w:pPr>
    </w:p>
    <w:p>
      <w:pPr>
        <w:pStyle w:val="ListParagraph"/>
        <w:numPr>
          <w:ilvl w:val="0"/>
          <w:numId w:val="1"/>
        </w:numPr>
        <w:tabs>
          <w:tab w:pos="1188" w:val="left" w:leader="none"/>
          <w:tab w:pos="1189" w:val="left" w:leader="none"/>
        </w:tabs>
        <w:spacing w:line="369" w:lineRule="auto" w:before="0" w:after="0"/>
        <w:ind w:left="1188" w:right="604" w:hanging="620"/>
        <w:jc w:val="left"/>
        <w:rPr>
          <w:b/>
          <w:sz w:val="22"/>
        </w:rPr>
      </w:pPr>
      <w:r>
        <w:rPr>
          <w:b/>
          <w:sz w:val="22"/>
        </w:rPr>
        <w:t>CONSIDERS null and void any measures taken by Israel in the occupied Arab territories, aimed at exploiting their resources and REQUESTS all States, International Organizations and investment agencies not to recognize Israel’s authority over these territories and not to co -operate with it, in any form whatsoever in its illegal exploitation of these</w:t>
      </w:r>
      <w:r>
        <w:rPr>
          <w:b/>
          <w:spacing w:val="80"/>
          <w:sz w:val="22"/>
        </w:rPr>
        <w:t> </w:t>
      </w:r>
      <w:r>
        <w:rPr>
          <w:b/>
          <w:spacing w:val="-2"/>
          <w:sz w:val="22"/>
        </w:rPr>
        <w:t>resources;</w:t>
      </w:r>
    </w:p>
    <w:p>
      <w:pPr>
        <w:pStyle w:val="BodyText"/>
        <w:spacing w:before="9"/>
        <w:rPr>
          <w:sz w:val="33"/>
        </w:rPr>
      </w:pPr>
    </w:p>
    <w:p>
      <w:pPr>
        <w:pStyle w:val="ListParagraph"/>
        <w:numPr>
          <w:ilvl w:val="0"/>
          <w:numId w:val="1"/>
        </w:numPr>
        <w:tabs>
          <w:tab w:pos="1188" w:val="left" w:leader="none"/>
          <w:tab w:pos="1189" w:val="left" w:leader="none"/>
        </w:tabs>
        <w:spacing w:line="369" w:lineRule="auto" w:before="0" w:after="0"/>
        <w:ind w:left="1188" w:right="548" w:hanging="620"/>
        <w:jc w:val="left"/>
        <w:rPr>
          <w:b/>
          <w:sz w:val="22"/>
        </w:rPr>
      </w:pPr>
      <w:r>
        <w:rPr>
          <w:b/>
          <w:sz w:val="22"/>
        </w:rPr>
        <w:t>STRONGLY</w:t>
      </w:r>
      <w:r>
        <w:rPr>
          <w:b/>
          <w:spacing w:val="37"/>
          <w:sz w:val="22"/>
        </w:rPr>
        <w:t> </w:t>
      </w:r>
      <w:r>
        <w:rPr>
          <w:b/>
          <w:sz w:val="22"/>
        </w:rPr>
        <w:t>CONDEMNS</w:t>
      </w:r>
      <w:r>
        <w:rPr>
          <w:b/>
          <w:spacing w:val="37"/>
          <w:sz w:val="22"/>
        </w:rPr>
        <w:t> </w:t>
      </w:r>
      <w:r>
        <w:rPr>
          <w:b/>
          <w:sz w:val="22"/>
        </w:rPr>
        <w:t>the</w:t>
      </w:r>
      <w:r>
        <w:rPr>
          <w:b/>
          <w:spacing w:val="37"/>
          <w:sz w:val="22"/>
        </w:rPr>
        <w:t> </w:t>
      </w:r>
      <w:r>
        <w:rPr>
          <w:b/>
          <w:sz w:val="22"/>
        </w:rPr>
        <w:t>Zionist</w:t>
      </w:r>
      <w:r>
        <w:rPr>
          <w:b/>
          <w:spacing w:val="39"/>
          <w:sz w:val="22"/>
        </w:rPr>
        <w:t> </w:t>
      </w:r>
      <w:r>
        <w:rPr>
          <w:b/>
          <w:sz w:val="22"/>
        </w:rPr>
        <w:t>Israeli</w:t>
      </w:r>
      <w:r>
        <w:rPr>
          <w:b/>
          <w:spacing w:val="37"/>
          <w:sz w:val="22"/>
        </w:rPr>
        <w:t> </w:t>
      </w:r>
      <w:r>
        <w:rPr>
          <w:b/>
          <w:sz w:val="22"/>
        </w:rPr>
        <w:t>criminal</w:t>
      </w:r>
      <w:r>
        <w:rPr>
          <w:b/>
          <w:spacing w:val="37"/>
          <w:sz w:val="22"/>
        </w:rPr>
        <w:t> </w:t>
      </w:r>
      <w:r>
        <w:rPr>
          <w:b/>
          <w:sz w:val="22"/>
        </w:rPr>
        <w:t>act</w:t>
      </w:r>
      <w:r>
        <w:rPr>
          <w:b/>
          <w:spacing w:val="39"/>
          <w:sz w:val="22"/>
        </w:rPr>
        <w:t> </w:t>
      </w:r>
      <w:r>
        <w:rPr>
          <w:b/>
          <w:sz w:val="22"/>
        </w:rPr>
        <w:t>of assassinating freedom fighter Khalil AL WAZIR ABOU JIHAD, in</w:t>
      </w:r>
      <w:r>
        <w:rPr>
          <w:b/>
          <w:spacing w:val="40"/>
          <w:sz w:val="22"/>
        </w:rPr>
        <w:t> </w:t>
      </w:r>
      <w:r>
        <w:rPr>
          <w:b/>
          <w:sz w:val="22"/>
        </w:rPr>
        <w:t>Tunisia and CONSIDERS this to be an act of terrorism and flagrant violation of the International Law against an independent sovereign state and member of the OAU and an act of provocation threatening peace and </w:t>
      </w:r>
      <w:r>
        <w:rPr>
          <w:b/>
          <w:spacing w:val="-2"/>
          <w:sz w:val="22"/>
        </w:rPr>
        <w:t>security;</w:t>
      </w:r>
    </w:p>
    <w:p>
      <w:pPr>
        <w:pStyle w:val="BodyText"/>
        <w:spacing w:before="5"/>
        <w:rPr>
          <w:sz w:val="33"/>
        </w:rPr>
      </w:pPr>
    </w:p>
    <w:p>
      <w:pPr>
        <w:pStyle w:val="ListParagraph"/>
        <w:numPr>
          <w:ilvl w:val="0"/>
          <w:numId w:val="1"/>
        </w:numPr>
        <w:tabs>
          <w:tab w:pos="1188" w:val="left" w:leader="none"/>
          <w:tab w:pos="1189" w:val="left" w:leader="none"/>
        </w:tabs>
        <w:spacing w:line="369" w:lineRule="auto" w:before="0" w:after="0"/>
        <w:ind w:left="1188" w:right="564" w:hanging="620"/>
        <w:jc w:val="left"/>
        <w:rPr>
          <w:b/>
          <w:sz w:val="22"/>
        </w:rPr>
      </w:pPr>
      <w:r>
        <w:rPr>
          <w:b/>
          <w:sz w:val="22"/>
        </w:rPr>
        <w:t>REJECTS all attempts and initiatives that ignore the inalienable rights of the Palestinian people, and which aims at aborting the Palestinian Liberation Organization, the sole legitimate representative of the Palestinian people;</w:t>
      </w:r>
    </w:p>
    <w:p>
      <w:pPr>
        <w:spacing w:after="0" w:line="369" w:lineRule="auto"/>
        <w:jc w:val="left"/>
        <w:rPr>
          <w:sz w:val="22"/>
        </w:rPr>
        <w:sectPr>
          <w:pgSz w:w="12240" w:h="15840"/>
          <w:pgMar w:top="540" w:bottom="280" w:left="1720" w:right="1720"/>
        </w:sectPr>
      </w:pPr>
    </w:p>
    <w:p>
      <w:pPr>
        <w:pStyle w:val="BodyText"/>
        <w:spacing w:before="6"/>
        <w:rPr>
          <w:sz w:val="25"/>
        </w:rPr>
      </w:pPr>
    </w:p>
    <w:p>
      <w:pPr>
        <w:pStyle w:val="ListParagraph"/>
        <w:numPr>
          <w:ilvl w:val="1"/>
          <w:numId w:val="1"/>
        </w:numPr>
        <w:tabs>
          <w:tab w:pos="1188" w:val="left" w:leader="none"/>
          <w:tab w:pos="1189" w:val="left" w:leader="none"/>
          <w:tab w:pos="3219" w:val="left" w:leader="none"/>
        </w:tabs>
        <w:spacing w:line="240" w:lineRule="auto" w:before="96" w:after="0"/>
        <w:ind w:left="1188" w:right="0" w:hanging="620"/>
        <w:jc w:val="left"/>
        <w:rPr>
          <w:b/>
          <w:sz w:val="22"/>
        </w:rPr>
      </w:pPr>
      <w:r>
        <w:rPr>
          <w:b/>
          <w:sz w:val="22"/>
        </w:rPr>
        <w:t>Reservation</w:t>
      </w:r>
      <w:r>
        <w:rPr>
          <w:b/>
          <w:spacing w:val="18"/>
          <w:sz w:val="22"/>
        </w:rPr>
        <w:t> </w:t>
      </w:r>
      <w:r>
        <w:rPr>
          <w:b/>
          <w:spacing w:val="-5"/>
          <w:sz w:val="22"/>
        </w:rPr>
        <w:t>by:</w:t>
      </w:r>
      <w:r>
        <w:rPr>
          <w:b/>
          <w:sz w:val="22"/>
        </w:rPr>
        <w:tab/>
        <w:t>Great</w:t>
      </w:r>
      <w:r>
        <w:rPr>
          <w:b/>
          <w:spacing w:val="2"/>
          <w:sz w:val="22"/>
        </w:rPr>
        <w:t> </w:t>
      </w:r>
      <w:r>
        <w:rPr>
          <w:b/>
          <w:sz w:val="22"/>
        </w:rPr>
        <w:t>Socialist</w:t>
      </w:r>
      <w:r>
        <w:rPr>
          <w:b/>
          <w:spacing w:val="4"/>
          <w:sz w:val="22"/>
        </w:rPr>
        <w:t> </w:t>
      </w:r>
      <w:r>
        <w:rPr>
          <w:b/>
          <w:sz w:val="22"/>
        </w:rPr>
        <w:t>People’s</w:t>
      </w:r>
      <w:r>
        <w:rPr>
          <w:b/>
          <w:spacing w:val="3"/>
          <w:sz w:val="22"/>
        </w:rPr>
        <w:t> </w:t>
      </w:r>
      <w:r>
        <w:rPr>
          <w:b/>
          <w:sz w:val="22"/>
        </w:rPr>
        <w:t>Libyan</w:t>
      </w:r>
      <w:r>
        <w:rPr>
          <w:b/>
          <w:spacing w:val="4"/>
          <w:sz w:val="22"/>
        </w:rPr>
        <w:t> </w:t>
      </w:r>
      <w:r>
        <w:rPr>
          <w:b/>
          <w:sz w:val="22"/>
        </w:rPr>
        <w:t>Arab</w:t>
      </w:r>
      <w:r>
        <w:rPr>
          <w:b/>
          <w:spacing w:val="5"/>
          <w:sz w:val="22"/>
        </w:rPr>
        <w:t> </w:t>
      </w:r>
      <w:r>
        <w:rPr>
          <w:b/>
          <w:spacing w:val="-2"/>
          <w:sz w:val="22"/>
        </w:rPr>
        <w:t>Jamahiriya</w:t>
      </w:r>
    </w:p>
    <w:p>
      <w:pPr>
        <w:pStyle w:val="BodyText"/>
        <w:rPr>
          <w:sz w:val="24"/>
        </w:rPr>
      </w:pPr>
    </w:p>
    <w:p>
      <w:pPr>
        <w:pStyle w:val="BodyText"/>
      </w:pPr>
    </w:p>
    <w:p>
      <w:pPr>
        <w:pStyle w:val="ListParagraph"/>
        <w:numPr>
          <w:ilvl w:val="0"/>
          <w:numId w:val="1"/>
        </w:numPr>
        <w:tabs>
          <w:tab w:pos="1189" w:val="left" w:leader="none"/>
        </w:tabs>
        <w:spacing w:line="367" w:lineRule="auto" w:before="1" w:after="0"/>
        <w:ind w:left="1188" w:right="753" w:hanging="620"/>
        <w:jc w:val="both"/>
        <w:rPr>
          <w:b/>
          <w:sz w:val="22"/>
        </w:rPr>
      </w:pPr>
      <w:r>
        <w:rPr>
          <w:b/>
          <w:sz w:val="22"/>
        </w:rPr>
        <w:t>*RECOMMENDS that Member States renew their firm determination not to establish or re-establish diplomatic ties with Israel, a natural and unconditional accomplice of racist South Africa;</w:t>
      </w:r>
    </w:p>
    <w:p>
      <w:pPr>
        <w:pStyle w:val="BodyText"/>
        <w:spacing w:before="2"/>
        <w:rPr>
          <w:sz w:val="34"/>
        </w:rPr>
      </w:pPr>
    </w:p>
    <w:p>
      <w:pPr>
        <w:pStyle w:val="ListParagraph"/>
        <w:numPr>
          <w:ilvl w:val="0"/>
          <w:numId w:val="1"/>
        </w:numPr>
        <w:tabs>
          <w:tab w:pos="1188" w:val="left" w:leader="none"/>
          <w:tab w:pos="1189" w:val="left" w:leader="none"/>
        </w:tabs>
        <w:spacing w:line="369" w:lineRule="auto" w:before="1" w:after="0"/>
        <w:ind w:left="1188" w:right="591" w:hanging="620"/>
        <w:jc w:val="left"/>
        <w:rPr>
          <w:b/>
          <w:sz w:val="22"/>
        </w:rPr>
      </w:pPr>
      <w:r>
        <w:rPr>
          <w:b/>
          <w:sz w:val="22"/>
        </w:rPr>
        <w:t>REQUEST that the Member reject the continuous Israeli attempts to penetrate the African continent through the United Nations Development </w:t>
      </w:r>
      <w:r>
        <w:rPr>
          <w:b/>
          <w:spacing w:val="-2"/>
          <w:sz w:val="22"/>
        </w:rPr>
        <w:t>Programme;</w:t>
      </w:r>
    </w:p>
    <w:p>
      <w:pPr>
        <w:pStyle w:val="BodyText"/>
        <w:spacing w:before="6"/>
        <w:rPr>
          <w:sz w:val="33"/>
        </w:rPr>
      </w:pPr>
    </w:p>
    <w:p>
      <w:pPr>
        <w:pStyle w:val="ListParagraph"/>
        <w:numPr>
          <w:ilvl w:val="0"/>
          <w:numId w:val="1"/>
        </w:numPr>
        <w:tabs>
          <w:tab w:pos="1188" w:val="left" w:leader="none"/>
          <w:tab w:pos="1189" w:val="left" w:leader="none"/>
        </w:tabs>
        <w:spacing w:line="369" w:lineRule="auto" w:before="1" w:after="0"/>
        <w:ind w:left="1188" w:right="614" w:hanging="620"/>
        <w:jc w:val="left"/>
        <w:rPr>
          <w:b/>
          <w:sz w:val="22"/>
        </w:rPr>
      </w:pPr>
      <w:r>
        <w:rPr>
          <w:b/>
          <w:sz w:val="22"/>
        </w:rPr>
        <w:t>STRONGLY CONDEMNS the alliance between racist South African regime, and Israel and their co-operation in atomic field which threaten security and peace in Africa and the Middle East, and their similarity in oppression, aggression and destabilization of neighboring States in South Africa and the Middle East respectively;</w:t>
      </w:r>
    </w:p>
    <w:p>
      <w:pPr>
        <w:pStyle w:val="BodyText"/>
        <w:spacing w:before="5"/>
        <w:rPr>
          <w:sz w:val="33"/>
        </w:rPr>
      </w:pPr>
    </w:p>
    <w:p>
      <w:pPr>
        <w:pStyle w:val="ListParagraph"/>
        <w:numPr>
          <w:ilvl w:val="0"/>
          <w:numId w:val="1"/>
        </w:numPr>
        <w:tabs>
          <w:tab w:pos="1188" w:val="left" w:leader="none"/>
          <w:tab w:pos="1189" w:val="left" w:leader="none"/>
        </w:tabs>
        <w:spacing w:line="369" w:lineRule="auto" w:before="0" w:after="0"/>
        <w:ind w:left="1188" w:right="584" w:hanging="620"/>
        <w:jc w:val="left"/>
        <w:rPr>
          <w:b/>
          <w:sz w:val="22"/>
        </w:rPr>
      </w:pPr>
      <w:r>
        <w:rPr>
          <w:b/>
          <w:sz w:val="22"/>
        </w:rPr>
        <w:t>APPEALS to both the leaders of the United States and USSR to consider the problems of the Middle East and its core the Question of Palestine</w:t>
      </w:r>
      <w:r>
        <w:rPr>
          <w:b/>
          <w:spacing w:val="80"/>
          <w:sz w:val="22"/>
        </w:rPr>
        <w:t> </w:t>
      </w:r>
      <w:r>
        <w:rPr>
          <w:b/>
          <w:sz w:val="22"/>
        </w:rPr>
        <w:t>with priority when discussing regional conflicts in their forthcoming meeting in Moscow and to spare no efforts in contributing for a just and lasting solution which guarantees the national inalienable rights of the Palestinian</w:t>
      </w:r>
      <w:r>
        <w:rPr>
          <w:b/>
          <w:spacing w:val="39"/>
          <w:sz w:val="22"/>
        </w:rPr>
        <w:t> </w:t>
      </w:r>
      <w:r>
        <w:rPr>
          <w:b/>
          <w:sz w:val="22"/>
        </w:rPr>
        <w:t>people</w:t>
      </w:r>
      <w:r>
        <w:rPr>
          <w:b/>
          <w:spacing w:val="39"/>
          <w:sz w:val="22"/>
        </w:rPr>
        <w:t> </w:t>
      </w:r>
      <w:r>
        <w:rPr>
          <w:b/>
          <w:sz w:val="22"/>
        </w:rPr>
        <w:t>including</w:t>
      </w:r>
      <w:r>
        <w:rPr>
          <w:b/>
          <w:spacing w:val="40"/>
          <w:sz w:val="22"/>
        </w:rPr>
        <w:t> </w:t>
      </w:r>
      <w:r>
        <w:rPr>
          <w:b/>
          <w:sz w:val="22"/>
        </w:rPr>
        <w:t>their</w:t>
      </w:r>
      <w:r>
        <w:rPr>
          <w:b/>
          <w:spacing w:val="39"/>
          <w:sz w:val="22"/>
        </w:rPr>
        <w:t> </w:t>
      </w:r>
      <w:r>
        <w:rPr>
          <w:b/>
          <w:sz w:val="22"/>
        </w:rPr>
        <w:t>rights</w:t>
      </w:r>
      <w:r>
        <w:rPr>
          <w:b/>
          <w:spacing w:val="39"/>
          <w:sz w:val="22"/>
        </w:rPr>
        <w:t> </w:t>
      </w:r>
      <w:r>
        <w:rPr>
          <w:b/>
          <w:sz w:val="22"/>
        </w:rPr>
        <w:t>to</w:t>
      </w:r>
      <w:r>
        <w:rPr>
          <w:b/>
          <w:spacing w:val="40"/>
          <w:sz w:val="22"/>
        </w:rPr>
        <w:t> </w:t>
      </w:r>
      <w:r>
        <w:rPr>
          <w:b/>
          <w:sz w:val="22"/>
        </w:rPr>
        <w:t>self-determination,</w:t>
      </w:r>
      <w:r>
        <w:rPr>
          <w:b/>
          <w:spacing w:val="40"/>
          <w:sz w:val="22"/>
        </w:rPr>
        <w:t> </w:t>
      </w:r>
      <w:r>
        <w:rPr>
          <w:b/>
          <w:sz w:val="22"/>
        </w:rPr>
        <w:t>return, and establishment of the independent Palestinian State with Jerusalem as its capital;</w:t>
      </w:r>
    </w:p>
    <w:p>
      <w:pPr>
        <w:pStyle w:val="BodyText"/>
        <w:spacing w:before="8"/>
        <w:rPr>
          <w:sz w:val="33"/>
        </w:rPr>
      </w:pPr>
    </w:p>
    <w:p>
      <w:pPr>
        <w:pStyle w:val="ListParagraph"/>
        <w:numPr>
          <w:ilvl w:val="0"/>
          <w:numId w:val="1"/>
        </w:numPr>
        <w:tabs>
          <w:tab w:pos="1188" w:val="left" w:leader="none"/>
          <w:tab w:pos="1189" w:val="left" w:leader="none"/>
        </w:tabs>
        <w:spacing w:line="369" w:lineRule="auto" w:before="0" w:after="0"/>
        <w:ind w:left="1188" w:right="741" w:hanging="620"/>
        <w:jc w:val="left"/>
        <w:rPr>
          <w:b/>
          <w:sz w:val="22"/>
        </w:rPr>
      </w:pPr>
      <w:r>
        <w:rPr>
          <w:b/>
          <w:sz w:val="22"/>
        </w:rPr>
        <w:t>REQUEST the OAU Secretary-General to monitor the developments in the Middle East question and to report to the next Ordinary Session of the Council of Ministers of the Organization of African Unity.</w:t>
      </w:r>
    </w:p>
    <w:p>
      <w:pPr>
        <w:spacing w:after="0" w:line="369" w:lineRule="auto"/>
        <w:jc w:val="left"/>
        <w:rPr>
          <w:sz w:val="22"/>
        </w:rPr>
        <w:sectPr>
          <w:headerReference w:type="default" r:id="rId5"/>
          <w:pgSz w:w="12240" w:h="15840"/>
          <w:pgMar w:header="851" w:footer="0" w:top="1040" w:bottom="280" w:left="1720" w:right="1720"/>
        </w:sectPr>
      </w:pPr>
    </w:p>
    <w:p>
      <w:pPr>
        <w:pStyle w:val="BodyText"/>
        <w:spacing w:before="6"/>
        <w:rPr>
          <w:sz w:val="25"/>
        </w:rPr>
      </w:pPr>
    </w:p>
    <w:p>
      <w:pPr>
        <w:pStyle w:val="ListParagraph"/>
        <w:numPr>
          <w:ilvl w:val="1"/>
          <w:numId w:val="1"/>
        </w:numPr>
        <w:tabs>
          <w:tab w:pos="1188" w:val="left" w:leader="none"/>
          <w:tab w:pos="1189" w:val="left" w:leader="none"/>
          <w:tab w:pos="3219" w:val="left" w:leader="none"/>
        </w:tabs>
        <w:spacing w:line="240" w:lineRule="auto" w:before="96" w:after="0"/>
        <w:ind w:left="1188" w:right="0" w:hanging="677"/>
        <w:jc w:val="left"/>
        <w:rPr>
          <w:b/>
          <w:sz w:val="22"/>
        </w:rPr>
      </w:pPr>
      <w:r>
        <w:rPr>
          <w:b/>
          <w:sz w:val="22"/>
        </w:rPr>
        <w:t>Reservations</w:t>
      </w:r>
      <w:r>
        <w:rPr>
          <w:b/>
          <w:spacing w:val="19"/>
          <w:sz w:val="22"/>
        </w:rPr>
        <w:t> </w:t>
      </w:r>
      <w:r>
        <w:rPr>
          <w:b/>
          <w:spacing w:val="-5"/>
          <w:sz w:val="22"/>
        </w:rPr>
        <w:t>by:</w:t>
      </w:r>
      <w:r>
        <w:rPr>
          <w:b/>
          <w:sz w:val="22"/>
        </w:rPr>
        <w:tab/>
        <w:t>Cameroon,</w:t>
      </w:r>
      <w:r>
        <w:rPr>
          <w:b/>
          <w:spacing w:val="7"/>
          <w:sz w:val="22"/>
        </w:rPr>
        <w:t> </w:t>
      </w:r>
      <w:r>
        <w:rPr>
          <w:b/>
          <w:sz w:val="22"/>
        </w:rPr>
        <w:t>Togo</w:t>
      </w:r>
      <w:r>
        <w:rPr>
          <w:b/>
          <w:spacing w:val="7"/>
          <w:sz w:val="22"/>
        </w:rPr>
        <w:t> </w:t>
      </w:r>
      <w:r>
        <w:rPr>
          <w:b/>
          <w:sz w:val="22"/>
        </w:rPr>
        <w:t>and</w:t>
      </w:r>
      <w:r>
        <w:rPr>
          <w:b/>
          <w:spacing w:val="6"/>
          <w:sz w:val="22"/>
        </w:rPr>
        <w:t> </w:t>
      </w:r>
      <w:r>
        <w:rPr>
          <w:b/>
          <w:spacing w:val="-2"/>
          <w:sz w:val="22"/>
        </w:rPr>
        <w:t>Zaire.</w:t>
      </w:r>
    </w:p>
    <w:sectPr>
      <w:pgSz w:w="12240" w:h="15840"/>
      <w:pgMar w:header="851" w:footer="0" w:top="10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rect style="position:absolute;margin-left:110.160004pt;margin-top:51.119999pt;width:393.12pt;height:1.44pt;mso-position-horizontal-relative:page;mso-position-vertical-relative:page;z-index:-15779328" id="docshape1" filled="true" fillcolor="#000000" stroked="false">
          <v:fill type="solid"/>
          <w10:wrap type="non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8" w:hanging="620"/>
        <w:jc w:val="left"/>
      </w:pPr>
      <w:rPr>
        <w:rFonts w:hint="default" w:ascii="Times New Roman" w:hAnsi="Times New Roman" w:eastAsia="Times New Roman" w:cs="Times New Roman"/>
        <w:b/>
        <w:bCs/>
        <w:i w:val="0"/>
        <w:iCs w:val="0"/>
        <w:spacing w:val="0"/>
        <w:w w:val="102"/>
        <w:sz w:val="22"/>
        <w:szCs w:val="22"/>
        <w:lang w:val="en-US" w:eastAsia="en-US" w:bidi="ar-SA"/>
      </w:rPr>
    </w:lvl>
    <w:lvl w:ilvl="1">
      <w:start w:val="0"/>
      <w:numFmt w:val="bullet"/>
      <w:lvlText w:val="*"/>
      <w:lvlJc w:val="left"/>
      <w:pPr>
        <w:ind w:left="1188" w:hanging="620"/>
      </w:pPr>
      <w:rPr>
        <w:rFonts w:hint="default" w:ascii="Times New Roman" w:hAnsi="Times New Roman" w:eastAsia="Times New Roman" w:cs="Times New Roman"/>
        <w:b/>
        <w:bCs/>
        <w:i w:val="0"/>
        <w:iCs w:val="0"/>
        <w:w w:val="102"/>
        <w:sz w:val="22"/>
        <w:szCs w:val="22"/>
        <w:lang w:val="en-US" w:eastAsia="en-US" w:bidi="ar-SA"/>
      </w:rPr>
    </w:lvl>
    <w:lvl w:ilvl="2">
      <w:start w:val="0"/>
      <w:numFmt w:val="bullet"/>
      <w:lvlText w:val="•"/>
      <w:lvlJc w:val="left"/>
      <w:pPr>
        <w:ind w:left="2704" w:hanging="620"/>
      </w:pPr>
      <w:rPr>
        <w:rFonts w:hint="default"/>
        <w:lang w:val="en-US" w:eastAsia="en-US" w:bidi="ar-SA"/>
      </w:rPr>
    </w:lvl>
    <w:lvl w:ilvl="3">
      <w:start w:val="0"/>
      <w:numFmt w:val="bullet"/>
      <w:lvlText w:val="•"/>
      <w:lvlJc w:val="left"/>
      <w:pPr>
        <w:ind w:left="3466" w:hanging="620"/>
      </w:pPr>
      <w:rPr>
        <w:rFonts w:hint="default"/>
        <w:lang w:val="en-US" w:eastAsia="en-US" w:bidi="ar-SA"/>
      </w:rPr>
    </w:lvl>
    <w:lvl w:ilvl="4">
      <w:start w:val="0"/>
      <w:numFmt w:val="bullet"/>
      <w:lvlText w:val="•"/>
      <w:lvlJc w:val="left"/>
      <w:pPr>
        <w:ind w:left="4228" w:hanging="620"/>
      </w:pPr>
      <w:rPr>
        <w:rFonts w:hint="default"/>
        <w:lang w:val="en-US" w:eastAsia="en-US" w:bidi="ar-SA"/>
      </w:rPr>
    </w:lvl>
    <w:lvl w:ilvl="5">
      <w:start w:val="0"/>
      <w:numFmt w:val="bullet"/>
      <w:lvlText w:val="•"/>
      <w:lvlJc w:val="left"/>
      <w:pPr>
        <w:ind w:left="4990" w:hanging="620"/>
      </w:pPr>
      <w:rPr>
        <w:rFonts w:hint="default"/>
        <w:lang w:val="en-US" w:eastAsia="en-US" w:bidi="ar-SA"/>
      </w:rPr>
    </w:lvl>
    <w:lvl w:ilvl="6">
      <w:start w:val="0"/>
      <w:numFmt w:val="bullet"/>
      <w:lvlText w:val="•"/>
      <w:lvlJc w:val="left"/>
      <w:pPr>
        <w:ind w:left="5752" w:hanging="620"/>
      </w:pPr>
      <w:rPr>
        <w:rFonts w:hint="default"/>
        <w:lang w:val="en-US" w:eastAsia="en-US" w:bidi="ar-SA"/>
      </w:rPr>
    </w:lvl>
    <w:lvl w:ilvl="7">
      <w:start w:val="0"/>
      <w:numFmt w:val="bullet"/>
      <w:lvlText w:val="•"/>
      <w:lvlJc w:val="left"/>
      <w:pPr>
        <w:ind w:left="6514" w:hanging="620"/>
      </w:pPr>
      <w:rPr>
        <w:rFonts w:hint="default"/>
        <w:lang w:val="en-US" w:eastAsia="en-US" w:bidi="ar-SA"/>
      </w:rPr>
    </w:lvl>
    <w:lvl w:ilvl="8">
      <w:start w:val="0"/>
      <w:numFmt w:val="bullet"/>
      <w:lvlText w:val="•"/>
      <w:lvlJc w:val="left"/>
      <w:pPr>
        <w:ind w:left="7276" w:hanging="6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1188" w:hanging="6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R E S O L U T I O N S OF THE 48 TH ORDINARY SESSION OF THE COUNCIL OF MINISTERS AS ADOPTED BY THE COUNCIL OF MINISTERS</dc:title>
  <dcterms:created xsi:type="dcterms:W3CDTF">2023-04-11T22:00:31Z</dcterms:created>
  <dcterms:modified xsi:type="dcterms:W3CDTF">2023-04-11T22:00:31Z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2023-01-16T00:00:00Z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