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6"/>
        </w:rPr>
      </w:pPr>
    </w:p>
    <w:p>
      <w:pPr>
        <w:pStyle w:val="Title"/>
        <w:rPr>
          <w:u w:val="none"/>
        </w:rPr>
      </w:pPr>
      <w:r>
        <w:rPr>
          <w:u w:val="single"/>
        </w:rPr>
        <w:t>RESOLUTION</w:t>
      </w:r>
      <w:r>
        <w:rPr>
          <w:spacing w:val="-7"/>
          <w:u w:val="single"/>
        </w:rPr>
        <w:t> </w:t>
      </w:r>
      <w:r>
        <w:rPr>
          <w:u w:val="single"/>
        </w:rPr>
        <w:t>ON</w:t>
      </w:r>
      <w:r>
        <w:rPr>
          <w:spacing w:val="-7"/>
          <w:u w:val="single"/>
        </w:rPr>
        <w:t> </w:t>
      </w:r>
      <w:r>
        <w:rPr>
          <w:u w:val="single"/>
        </w:rPr>
        <w:t>THE</w:t>
      </w:r>
      <w:r>
        <w:rPr>
          <w:spacing w:val="-7"/>
          <w:u w:val="single"/>
        </w:rPr>
        <w:t> </w:t>
      </w:r>
      <w:r>
        <w:rPr>
          <w:u w:val="single"/>
        </w:rPr>
        <w:t>SITUATION</w:t>
      </w:r>
      <w:r>
        <w:rPr>
          <w:spacing w:val="-6"/>
          <w:u w:val="single"/>
        </w:rPr>
        <w:t> </w:t>
      </w:r>
      <w:r>
        <w:rPr>
          <w:u w:val="single"/>
        </w:rPr>
        <w:t>IN</w:t>
      </w:r>
      <w:r>
        <w:rPr>
          <w:spacing w:val="-7"/>
          <w:u w:val="single"/>
        </w:rPr>
        <w:t> </w:t>
      </w:r>
      <w:r>
        <w:rPr>
          <w:u w:val="single"/>
        </w:rPr>
        <w:t>THE</w:t>
      </w:r>
      <w:r>
        <w:rPr>
          <w:spacing w:val="-7"/>
          <w:u w:val="single"/>
        </w:rPr>
        <w:t> </w:t>
      </w:r>
      <w:r>
        <w:rPr>
          <w:u w:val="single"/>
        </w:rPr>
        <w:t>MIDDLE</w:t>
      </w:r>
      <w:r>
        <w:rPr>
          <w:spacing w:val="-6"/>
          <w:u w:val="single"/>
        </w:rPr>
        <w:t> </w:t>
      </w:r>
      <w:r>
        <w:rPr>
          <w:spacing w:val="-4"/>
          <w:u w:val="single"/>
        </w:rPr>
        <w:t>EAST</w:t>
      </w:r>
    </w:p>
    <w:p>
      <w:pPr>
        <w:pStyle w:val="BodyText"/>
        <w:spacing w:before="8"/>
        <w:rPr>
          <w:b/>
          <w:sz w:val="15"/>
        </w:rPr>
      </w:pPr>
    </w:p>
    <w:p>
      <w:pPr>
        <w:pStyle w:val="BodyText"/>
        <w:spacing w:line="237" w:lineRule="auto" w:before="93"/>
        <w:ind w:left="104" w:right="214"/>
      </w:pPr>
      <w:r>
        <w:rPr>
          <w:spacing w:val="-2"/>
        </w:rPr>
        <w:t>The</w:t>
      </w:r>
      <w:r>
        <w:rPr>
          <w:spacing w:val="-11"/>
        </w:rPr>
        <w:t> </w:t>
      </w:r>
      <w:r>
        <w:rPr>
          <w:spacing w:val="-2"/>
        </w:rPr>
        <w:t>Council</w:t>
      </w:r>
      <w:r>
        <w:rPr>
          <w:spacing w:val="-7"/>
        </w:rPr>
        <w:t> </w:t>
      </w:r>
      <w:r>
        <w:rPr>
          <w:spacing w:val="-2"/>
        </w:rPr>
        <w:t>of</w:t>
      </w:r>
      <w:r>
        <w:rPr>
          <w:spacing w:val="-7"/>
        </w:rPr>
        <w:t> </w:t>
      </w:r>
      <w:r>
        <w:rPr>
          <w:spacing w:val="-2"/>
        </w:rPr>
        <w:t>Ministers</w:t>
      </w:r>
      <w:r>
        <w:rPr>
          <w:spacing w:val="-7"/>
        </w:rPr>
        <w:t> </w:t>
      </w:r>
      <w:r>
        <w:rPr>
          <w:spacing w:val="-2"/>
        </w:rPr>
        <w:t>of</w:t>
      </w:r>
      <w:r>
        <w:rPr>
          <w:spacing w:val="-7"/>
        </w:rPr>
        <w:t> </w:t>
      </w:r>
      <w:r>
        <w:rPr>
          <w:spacing w:val="-2"/>
        </w:rPr>
        <w:t>the</w:t>
      </w:r>
      <w:r>
        <w:rPr>
          <w:spacing w:val="-7"/>
        </w:rPr>
        <w:t> </w:t>
      </w:r>
      <w:r>
        <w:rPr>
          <w:spacing w:val="-2"/>
        </w:rPr>
        <w:t>Organization</w:t>
      </w:r>
      <w:r>
        <w:rPr>
          <w:spacing w:val="-7"/>
        </w:rPr>
        <w:t> </w:t>
      </w:r>
      <w:r>
        <w:rPr>
          <w:spacing w:val="-2"/>
        </w:rPr>
        <w:t>of</w:t>
      </w:r>
      <w:r>
        <w:rPr>
          <w:spacing w:val="-7"/>
        </w:rPr>
        <w:t> </w:t>
      </w:r>
      <w:r>
        <w:rPr>
          <w:spacing w:val="-2"/>
        </w:rPr>
        <w:t>African</w:t>
      </w:r>
      <w:r>
        <w:rPr>
          <w:spacing w:val="-7"/>
        </w:rPr>
        <w:t> </w:t>
      </w:r>
      <w:r>
        <w:rPr>
          <w:spacing w:val="-2"/>
        </w:rPr>
        <w:t>Unity,</w:t>
      </w:r>
      <w:r>
        <w:rPr>
          <w:spacing w:val="-5"/>
        </w:rPr>
        <w:t> </w:t>
      </w:r>
      <w:r>
        <w:rPr>
          <w:spacing w:val="-2"/>
        </w:rPr>
        <w:t>meeting</w:t>
      </w:r>
      <w:r>
        <w:rPr>
          <w:spacing w:val="-7"/>
        </w:rPr>
        <w:t> </w:t>
      </w:r>
      <w:r>
        <w:rPr>
          <w:spacing w:val="-2"/>
        </w:rPr>
        <w:t>in</w:t>
      </w:r>
      <w:r>
        <w:rPr>
          <w:spacing w:val="-7"/>
        </w:rPr>
        <w:t> </w:t>
      </w:r>
      <w:r>
        <w:rPr>
          <w:spacing w:val="-2"/>
        </w:rPr>
        <w:t>its</w:t>
      </w:r>
      <w:r>
        <w:rPr>
          <w:spacing w:val="-7"/>
        </w:rPr>
        <w:t> </w:t>
      </w:r>
      <w:r>
        <w:rPr>
          <w:spacing w:val="-2"/>
        </w:rPr>
        <w:t>Fifty</w:t>
      </w:r>
      <w:r>
        <w:rPr>
          <w:spacing w:val="-30"/>
        </w:rPr>
        <w:t> </w:t>
      </w:r>
      <w:r>
        <w:rPr>
          <w:spacing w:val="-2"/>
        </w:rPr>
        <w:t>-sixth </w:t>
      </w:r>
      <w:r>
        <w:rPr/>
        <w:t>Ordinary Session in Dakar, Senegal, from 22 to 28 June 1992,</w:t>
      </w:r>
    </w:p>
    <w:p>
      <w:pPr>
        <w:pStyle w:val="BodyText"/>
      </w:pPr>
    </w:p>
    <w:p>
      <w:pPr>
        <w:pStyle w:val="BodyText"/>
        <w:spacing w:line="242" w:lineRule="auto"/>
        <w:ind w:left="104" w:right="214"/>
      </w:pPr>
      <w:r>
        <w:rPr>
          <w:u w:val="single"/>
        </w:rPr>
        <w:t>Having</w:t>
      </w:r>
      <w:r>
        <w:rPr>
          <w:spacing w:val="-9"/>
          <w:u w:val="single"/>
        </w:rPr>
        <w:t> </w:t>
      </w:r>
      <w:r>
        <w:rPr>
          <w:u w:val="single"/>
        </w:rPr>
        <w:t>considered</w:t>
      </w:r>
      <w:r>
        <w:rPr>
          <w:spacing w:val="-6"/>
        </w:rPr>
        <w:t> </w:t>
      </w:r>
      <w:r>
        <w:rPr/>
        <w:t>the</w:t>
      </w:r>
      <w:r>
        <w:rPr>
          <w:spacing w:val="-9"/>
        </w:rPr>
        <w:t> </w:t>
      </w:r>
      <w:r>
        <w:rPr/>
        <w:t>report</w:t>
      </w:r>
      <w:r>
        <w:rPr>
          <w:spacing w:val="-6"/>
        </w:rPr>
        <w:t> </w:t>
      </w:r>
      <w:r>
        <w:rPr/>
        <w:t>of</w:t>
      </w:r>
      <w:r>
        <w:rPr>
          <w:spacing w:val="-9"/>
        </w:rPr>
        <w:t> </w:t>
      </w:r>
      <w:r>
        <w:rPr/>
        <w:t>the</w:t>
      </w:r>
      <w:r>
        <w:rPr>
          <w:spacing w:val="-9"/>
        </w:rPr>
        <w:t> </w:t>
      </w:r>
      <w:r>
        <w:rPr/>
        <w:t>OAU</w:t>
      </w:r>
      <w:r>
        <w:rPr>
          <w:spacing w:val="-9"/>
        </w:rPr>
        <w:t> </w:t>
      </w:r>
      <w:r>
        <w:rPr/>
        <w:t>Secretary-General</w:t>
      </w:r>
      <w:r>
        <w:rPr>
          <w:spacing w:val="-9"/>
        </w:rPr>
        <w:t> </w:t>
      </w:r>
      <w:r>
        <w:rPr/>
        <w:t>on</w:t>
      </w:r>
      <w:r>
        <w:rPr>
          <w:spacing w:val="-9"/>
        </w:rPr>
        <w:t> </w:t>
      </w:r>
      <w:r>
        <w:rPr/>
        <w:t>the</w:t>
      </w:r>
      <w:r>
        <w:rPr>
          <w:spacing w:val="-9"/>
        </w:rPr>
        <w:t> </w:t>
      </w:r>
      <w:r>
        <w:rPr/>
        <w:t>situation</w:t>
      </w:r>
      <w:r>
        <w:rPr>
          <w:spacing w:val="-9"/>
        </w:rPr>
        <w:t> </w:t>
      </w:r>
      <w:r>
        <w:rPr/>
        <w:t>in</w:t>
      </w:r>
      <w:r>
        <w:rPr>
          <w:spacing w:val="-9"/>
        </w:rPr>
        <w:t> </w:t>
      </w:r>
      <w:r>
        <w:rPr/>
        <w:t>the Middle East as contained in Document No. CM/1715 (LVI),</w:t>
      </w:r>
    </w:p>
    <w:p>
      <w:pPr>
        <w:pStyle w:val="BodyText"/>
        <w:spacing w:before="9"/>
        <w:rPr>
          <w:sz w:val="23"/>
        </w:rPr>
      </w:pPr>
    </w:p>
    <w:p>
      <w:pPr>
        <w:pStyle w:val="BodyText"/>
        <w:ind w:left="104" w:right="214"/>
      </w:pPr>
      <w:r>
        <w:rPr>
          <w:u w:val="single"/>
        </w:rPr>
        <w:t>Guided by the principles and objectives</w:t>
      </w:r>
      <w:r>
        <w:rPr/>
        <w:t> of the OAU and UN Charters and the common determination</w:t>
      </w:r>
      <w:r>
        <w:rPr>
          <w:spacing w:val="-15"/>
        </w:rPr>
        <w:t> </w:t>
      </w:r>
      <w:r>
        <w:rPr/>
        <w:t>of</w:t>
      </w:r>
      <w:r>
        <w:rPr>
          <w:spacing w:val="-15"/>
        </w:rPr>
        <w:t> </w:t>
      </w:r>
      <w:r>
        <w:rPr/>
        <w:t>the</w:t>
      </w:r>
      <w:r>
        <w:rPr>
          <w:spacing w:val="-11"/>
        </w:rPr>
        <w:t> </w:t>
      </w:r>
      <w:r>
        <w:rPr/>
        <w:t>African</w:t>
      </w:r>
      <w:r>
        <w:rPr>
          <w:spacing w:val="-11"/>
        </w:rPr>
        <w:t> </w:t>
      </w:r>
      <w:r>
        <w:rPr/>
        <w:t>and</w:t>
      </w:r>
      <w:r>
        <w:rPr>
          <w:spacing w:val="-11"/>
        </w:rPr>
        <w:t> </w:t>
      </w:r>
      <w:r>
        <w:rPr/>
        <w:t>Arab</w:t>
      </w:r>
      <w:r>
        <w:rPr>
          <w:spacing w:val="-11"/>
        </w:rPr>
        <w:t> </w:t>
      </w:r>
      <w:r>
        <w:rPr/>
        <w:t>peoples</w:t>
      </w:r>
      <w:r>
        <w:rPr>
          <w:spacing w:val="-11"/>
        </w:rPr>
        <w:t> </w:t>
      </w:r>
      <w:r>
        <w:rPr/>
        <w:t>to</w:t>
      </w:r>
      <w:r>
        <w:rPr>
          <w:spacing w:val="-10"/>
        </w:rPr>
        <w:t> </w:t>
      </w:r>
      <w:r>
        <w:rPr/>
        <w:t>pool</w:t>
      </w:r>
      <w:r>
        <w:rPr>
          <w:spacing w:val="-11"/>
        </w:rPr>
        <w:t> </w:t>
      </w:r>
      <w:r>
        <w:rPr/>
        <w:t>their</w:t>
      </w:r>
      <w:r>
        <w:rPr>
          <w:spacing w:val="-11"/>
        </w:rPr>
        <w:t> </w:t>
      </w:r>
      <w:r>
        <w:rPr/>
        <w:t>resources</w:t>
      </w:r>
      <w:r>
        <w:rPr>
          <w:spacing w:val="-11"/>
        </w:rPr>
        <w:t> </w:t>
      </w:r>
      <w:r>
        <w:rPr/>
        <w:t>in</w:t>
      </w:r>
      <w:r>
        <w:rPr>
          <w:spacing w:val="-11"/>
        </w:rPr>
        <w:t> </w:t>
      </w:r>
      <w:r>
        <w:rPr/>
        <w:t>defense</w:t>
      </w:r>
      <w:r>
        <w:rPr>
          <w:spacing w:val="-11"/>
        </w:rPr>
        <w:t> </w:t>
      </w:r>
      <w:r>
        <w:rPr/>
        <w:t>o</w:t>
      </w:r>
      <w:r>
        <w:rPr>
          <w:spacing w:val="-25"/>
        </w:rPr>
        <w:t> </w:t>
      </w:r>
      <w:r>
        <w:rPr/>
        <w:t>f</w:t>
      </w:r>
      <w:r>
        <w:rPr>
          <w:spacing w:val="-11"/>
        </w:rPr>
        <w:t> </w:t>
      </w:r>
      <w:r>
        <w:rPr/>
        <w:t>their freedom and restoration of their basic legitimate rights,</w:t>
      </w:r>
    </w:p>
    <w:p>
      <w:pPr>
        <w:pStyle w:val="BodyText"/>
      </w:pPr>
    </w:p>
    <w:p>
      <w:pPr>
        <w:pStyle w:val="BodyText"/>
        <w:ind w:left="104"/>
      </w:pPr>
      <w:r>
        <w:rPr>
          <w:u w:val="single"/>
        </w:rPr>
        <w:t>Recalling</w:t>
      </w:r>
      <w:r>
        <w:rPr>
          <w:spacing w:val="-13"/>
        </w:rPr>
        <w:t> </w:t>
      </w:r>
      <w:r>
        <w:rPr/>
        <w:t>that</w:t>
      </w:r>
      <w:r>
        <w:rPr>
          <w:spacing w:val="-10"/>
        </w:rPr>
        <w:t> </w:t>
      </w:r>
      <w:r>
        <w:rPr/>
        <w:t>the</w:t>
      </w:r>
      <w:r>
        <w:rPr>
          <w:spacing w:val="-13"/>
        </w:rPr>
        <w:t> </w:t>
      </w:r>
      <w:r>
        <w:rPr/>
        <w:t>Palestinian</w:t>
      </w:r>
      <w:r>
        <w:rPr>
          <w:spacing w:val="-12"/>
        </w:rPr>
        <w:t> </w:t>
      </w:r>
      <w:r>
        <w:rPr/>
        <w:t>question</w:t>
      </w:r>
      <w:r>
        <w:rPr>
          <w:spacing w:val="-13"/>
        </w:rPr>
        <w:t> </w:t>
      </w:r>
      <w:r>
        <w:rPr/>
        <w:t>is</w:t>
      </w:r>
      <w:r>
        <w:rPr>
          <w:spacing w:val="-12"/>
        </w:rPr>
        <w:t> </w:t>
      </w:r>
      <w:r>
        <w:rPr/>
        <w:t>at</w:t>
      </w:r>
      <w:r>
        <w:rPr>
          <w:spacing w:val="-10"/>
        </w:rPr>
        <w:t> </w:t>
      </w:r>
      <w:r>
        <w:rPr/>
        <w:t>the</w:t>
      </w:r>
      <w:r>
        <w:rPr>
          <w:spacing w:val="-13"/>
        </w:rPr>
        <w:t> </w:t>
      </w:r>
      <w:r>
        <w:rPr/>
        <w:t>center</w:t>
      </w:r>
      <w:r>
        <w:rPr>
          <w:spacing w:val="-11"/>
        </w:rPr>
        <w:t> </w:t>
      </w:r>
      <w:r>
        <w:rPr/>
        <w:t>of</w:t>
      </w:r>
      <w:r>
        <w:rPr>
          <w:spacing w:val="-13"/>
        </w:rPr>
        <w:t> </w:t>
      </w:r>
      <w:r>
        <w:rPr/>
        <w:t>the</w:t>
      </w:r>
      <w:r>
        <w:rPr>
          <w:spacing w:val="-12"/>
        </w:rPr>
        <w:t> </w:t>
      </w:r>
      <w:r>
        <w:rPr/>
        <w:t>conflict</w:t>
      </w:r>
      <w:r>
        <w:rPr>
          <w:spacing w:val="-11"/>
        </w:rPr>
        <w:t> </w:t>
      </w:r>
      <w:r>
        <w:rPr/>
        <w:t>in</w:t>
      </w:r>
      <w:r>
        <w:rPr>
          <w:spacing w:val="-12"/>
        </w:rPr>
        <w:t> </w:t>
      </w:r>
      <w:r>
        <w:rPr/>
        <w:t>the</w:t>
      </w:r>
      <w:r>
        <w:rPr>
          <w:spacing w:val="-13"/>
        </w:rPr>
        <w:t> </w:t>
      </w:r>
      <w:r>
        <w:rPr/>
        <w:t>Middle</w:t>
      </w:r>
      <w:r>
        <w:rPr>
          <w:spacing w:val="-12"/>
        </w:rPr>
        <w:t> </w:t>
      </w:r>
      <w:r>
        <w:rPr>
          <w:spacing w:val="-2"/>
        </w:rPr>
        <w:t>East:</w:t>
      </w:r>
    </w:p>
    <w:p>
      <w:pPr>
        <w:pStyle w:val="BodyText"/>
      </w:pPr>
    </w:p>
    <w:p>
      <w:pPr>
        <w:pStyle w:val="ListParagraph"/>
        <w:numPr>
          <w:ilvl w:val="0"/>
          <w:numId w:val="1"/>
        </w:numPr>
        <w:tabs>
          <w:tab w:pos="1133" w:val="left" w:leader="none"/>
        </w:tabs>
        <w:spacing w:line="240" w:lineRule="auto" w:before="0" w:after="0"/>
        <w:ind w:left="1137" w:right="422" w:hanging="313"/>
        <w:jc w:val="left"/>
        <w:rPr>
          <w:sz w:val="24"/>
        </w:rPr>
      </w:pPr>
      <w:r>
        <w:rPr>
          <w:sz w:val="24"/>
        </w:rPr>
        <w:t>REAFFIRMS</w:t>
      </w:r>
      <w:r>
        <w:rPr>
          <w:spacing w:val="-15"/>
          <w:sz w:val="24"/>
        </w:rPr>
        <w:t> </w:t>
      </w:r>
      <w:r>
        <w:rPr>
          <w:sz w:val="24"/>
        </w:rPr>
        <w:t>all</w:t>
      </w:r>
      <w:r>
        <w:rPr>
          <w:spacing w:val="-15"/>
          <w:sz w:val="24"/>
        </w:rPr>
        <w:t> </w:t>
      </w:r>
      <w:r>
        <w:rPr>
          <w:sz w:val="24"/>
        </w:rPr>
        <w:t>the</w:t>
      </w:r>
      <w:r>
        <w:rPr>
          <w:spacing w:val="-15"/>
          <w:sz w:val="24"/>
        </w:rPr>
        <w:t> </w:t>
      </w:r>
      <w:r>
        <w:rPr>
          <w:sz w:val="24"/>
        </w:rPr>
        <w:t>previous</w:t>
      </w:r>
      <w:r>
        <w:rPr>
          <w:spacing w:val="-15"/>
          <w:sz w:val="24"/>
        </w:rPr>
        <w:t> </w:t>
      </w:r>
      <w:r>
        <w:rPr>
          <w:sz w:val="24"/>
        </w:rPr>
        <w:t>resolutions</w:t>
      </w:r>
      <w:r>
        <w:rPr>
          <w:spacing w:val="-15"/>
          <w:sz w:val="24"/>
        </w:rPr>
        <w:t> </w:t>
      </w:r>
      <w:r>
        <w:rPr>
          <w:sz w:val="24"/>
        </w:rPr>
        <w:t>of</w:t>
      </w:r>
      <w:r>
        <w:rPr>
          <w:spacing w:val="-15"/>
          <w:sz w:val="24"/>
        </w:rPr>
        <w:t> </w:t>
      </w:r>
      <w:r>
        <w:rPr>
          <w:sz w:val="24"/>
        </w:rPr>
        <w:t>the</w:t>
      </w:r>
      <w:r>
        <w:rPr>
          <w:spacing w:val="-15"/>
          <w:sz w:val="24"/>
        </w:rPr>
        <w:t> </w:t>
      </w:r>
      <w:r>
        <w:rPr>
          <w:sz w:val="24"/>
        </w:rPr>
        <w:t>OAU</w:t>
      </w:r>
      <w:r>
        <w:rPr>
          <w:spacing w:val="-15"/>
          <w:sz w:val="24"/>
        </w:rPr>
        <w:t> </w:t>
      </w:r>
      <w:r>
        <w:rPr>
          <w:sz w:val="24"/>
        </w:rPr>
        <w:t>Assembly</w:t>
      </w:r>
      <w:r>
        <w:rPr>
          <w:spacing w:val="-15"/>
          <w:sz w:val="24"/>
        </w:rPr>
        <w:t> </w:t>
      </w:r>
      <w:r>
        <w:rPr>
          <w:sz w:val="24"/>
        </w:rPr>
        <w:t>of</w:t>
      </w:r>
      <w:r>
        <w:rPr>
          <w:spacing w:val="-15"/>
          <w:sz w:val="24"/>
        </w:rPr>
        <w:t> </w:t>
      </w:r>
      <w:r>
        <w:rPr>
          <w:sz w:val="24"/>
        </w:rPr>
        <w:t>Heads</w:t>
      </w:r>
      <w:r>
        <w:rPr>
          <w:spacing w:val="-15"/>
          <w:sz w:val="24"/>
        </w:rPr>
        <w:t> </w:t>
      </w:r>
      <w:r>
        <w:rPr>
          <w:sz w:val="24"/>
        </w:rPr>
        <w:t>of State and Government and Council of Ministers and EXPRESSES ITS TOTAL</w:t>
      </w:r>
      <w:r>
        <w:rPr>
          <w:spacing w:val="-9"/>
          <w:sz w:val="24"/>
        </w:rPr>
        <w:t> </w:t>
      </w:r>
      <w:r>
        <w:rPr>
          <w:sz w:val="24"/>
        </w:rPr>
        <w:t>SUPPORT</w:t>
      </w:r>
      <w:r>
        <w:rPr>
          <w:spacing w:val="-8"/>
          <w:sz w:val="24"/>
        </w:rPr>
        <w:t> </w:t>
      </w:r>
      <w:r>
        <w:rPr>
          <w:sz w:val="24"/>
        </w:rPr>
        <w:t>for</w:t>
      </w:r>
      <w:r>
        <w:rPr>
          <w:spacing w:val="-8"/>
          <w:sz w:val="24"/>
        </w:rPr>
        <w:t> </w:t>
      </w:r>
      <w:r>
        <w:rPr>
          <w:sz w:val="24"/>
        </w:rPr>
        <w:t>the</w:t>
      </w:r>
      <w:r>
        <w:rPr>
          <w:spacing w:val="-9"/>
          <w:sz w:val="24"/>
        </w:rPr>
        <w:t> </w:t>
      </w:r>
      <w:r>
        <w:rPr>
          <w:sz w:val="24"/>
        </w:rPr>
        <w:t>Palestinian</w:t>
      </w:r>
      <w:r>
        <w:rPr>
          <w:spacing w:val="-9"/>
          <w:sz w:val="24"/>
        </w:rPr>
        <w:t> </w:t>
      </w:r>
      <w:r>
        <w:rPr>
          <w:sz w:val="24"/>
        </w:rPr>
        <w:t>People</w:t>
      </w:r>
      <w:r>
        <w:rPr>
          <w:spacing w:val="-9"/>
          <w:sz w:val="24"/>
        </w:rPr>
        <w:t> </w:t>
      </w:r>
      <w:r>
        <w:rPr>
          <w:sz w:val="24"/>
        </w:rPr>
        <w:t>and</w:t>
      </w:r>
      <w:r>
        <w:rPr>
          <w:spacing w:val="-9"/>
          <w:sz w:val="24"/>
        </w:rPr>
        <w:t> </w:t>
      </w:r>
      <w:r>
        <w:rPr>
          <w:sz w:val="24"/>
        </w:rPr>
        <w:t>the</w:t>
      </w:r>
      <w:r>
        <w:rPr>
          <w:spacing w:val="-9"/>
          <w:sz w:val="24"/>
        </w:rPr>
        <w:t> </w:t>
      </w:r>
      <w:r>
        <w:rPr>
          <w:sz w:val="24"/>
        </w:rPr>
        <w:t>Arab</w:t>
      </w:r>
      <w:r>
        <w:rPr>
          <w:spacing w:val="-9"/>
          <w:sz w:val="24"/>
        </w:rPr>
        <w:t> </w:t>
      </w:r>
      <w:r>
        <w:rPr>
          <w:sz w:val="24"/>
        </w:rPr>
        <w:t>countries</w:t>
      </w:r>
      <w:r>
        <w:rPr>
          <w:spacing w:val="-9"/>
          <w:sz w:val="24"/>
        </w:rPr>
        <w:t> </w:t>
      </w:r>
      <w:r>
        <w:rPr>
          <w:sz w:val="24"/>
        </w:rPr>
        <w:t>which are victims of Israeli aggression;</w:t>
      </w:r>
    </w:p>
    <w:p>
      <w:pPr>
        <w:pStyle w:val="BodyText"/>
        <w:spacing w:before="9"/>
        <w:rPr>
          <w:sz w:val="23"/>
        </w:rPr>
      </w:pPr>
    </w:p>
    <w:p>
      <w:pPr>
        <w:pStyle w:val="ListParagraph"/>
        <w:numPr>
          <w:ilvl w:val="0"/>
          <w:numId w:val="1"/>
        </w:numPr>
        <w:tabs>
          <w:tab w:pos="1133" w:val="left" w:leader="none"/>
        </w:tabs>
        <w:spacing w:line="240" w:lineRule="auto" w:before="0" w:after="0"/>
        <w:ind w:left="1137" w:right="289" w:hanging="313"/>
        <w:jc w:val="left"/>
        <w:rPr>
          <w:sz w:val="24"/>
        </w:rPr>
      </w:pPr>
      <w:r>
        <w:rPr>
          <w:sz w:val="24"/>
        </w:rPr>
        <w:t>EXPRESSES ITS SATISFACTION with the efforts deployed by the United States</w:t>
      </w:r>
      <w:r>
        <w:rPr>
          <w:spacing w:val="-4"/>
          <w:sz w:val="24"/>
        </w:rPr>
        <w:t> </w:t>
      </w:r>
      <w:r>
        <w:rPr>
          <w:sz w:val="24"/>
        </w:rPr>
        <w:t>of America,</w:t>
      </w:r>
      <w:r>
        <w:rPr>
          <w:spacing w:val="-2"/>
          <w:sz w:val="24"/>
        </w:rPr>
        <w:t> </w:t>
      </w:r>
      <w:r>
        <w:rPr>
          <w:sz w:val="24"/>
        </w:rPr>
        <w:t>Russia</w:t>
      </w:r>
      <w:r>
        <w:rPr>
          <w:spacing w:val="-4"/>
          <w:sz w:val="24"/>
        </w:rPr>
        <w:t> </w:t>
      </w:r>
      <w:r>
        <w:rPr>
          <w:sz w:val="24"/>
        </w:rPr>
        <w:t>and</w:t>
      </w:r>
      <w:r>
        <w:rPr>
          <w:spacing w:val="-4"/>
          <w:sz w:val="24"/>
        </w:rPr>
        <w:t> </w:t>
      </w:r>
      <w:r>
        <w:rPr>
          <w:sz w:val="24"/>
        </w:rPr>
        <w:t>the</w:t>
      </w:r>
      <w:r>
        <w:rPr>
          <w:spacing w:val="-4"/>
          <w:sz w:val="24"/>
        </w:rPr>
        <w:t> </w:t>
      </w:r>
      <w:r>
        <w:rPr>
          <w:sz w:val="24"/>
        </w:rPr>
        <w:t>rest</w:t>
      </w:r>
      <w:r>
        <w:rPr>
          <w:spacing w:val="-1"/>
          <w:sz w:val="24"/>
        </w:rPr>
        <w:t> </w:t>
      </w:r>
      <w:r>
        <w:rPr>
          <w:sz w:val="24"/>
        </w:rPr>
        <w:t>of</w:t>
      </w:r>
      <w:r>
        <w:rPr>
          <w:spacing w:val="-4"/>
          <w:sz w:val="24"/>
        </w:rPr>
        <w:t> </w:t>
      </w:r>
      <w:r>
        <w:rPr>
          <w:sz w:val="24"/>
        </w:rPr>
        <w:t>the</w:t>
      </w:r>
      <w:r>
        <w:rPr>
          <w:spacing w:val="-4"/>
          <w:sz w:val="24"/>
        </w:rPr>
        <w:t> </w:t>
      </w:r>
      <w:r>
        <w:rPr>
          <w:sz w:val="24"/>
        </w:rPr>
        <w:t>international</w:t>
      </w:r>
      <w:r>
        <w:rPr>
          <w:spacing w:val="-4"/>
          <w:sz w:val="24"/>
        </w:rPr>
        <w:t> </w:t>
      </w:r>
      <w:r>
        <w:rPr>
          <w:sz w:val="24"/>
        </w:rPr>
        <w:t>community</w:t>
      </w:r>
      <w:r>
        <w:rPr>
          <w:spacing w:val="-4"/>
          <w:sz w:val="24"/>
        </w:rPr>
        <w:t> </w:t>
      </w:r>
      <w:r>
        <w:rPr>
          <w:sz w:val="24"/>
        </w:rPr>
        <w:t>for</w:t>
      </w:r>
      <w:r>
        <w:rPr>
          <w:spacing w:val="-3"/>
          <w:sz w:val="24"/>
        </w:rPr>
        <w:t> </w:t>
      </w:r>
      <w:r>
        <w:rPr>
          <w:sz w:val="24"/>
        </w:rPr>
        <w:t>the establishment of a just and comprehensive peace in the Middle East through the convening of the Peace Conference and negotiations between the parties concerned</w:t>
      </w:r>
      <w:r>
        <w:rPr>
          <w:spacing w:val="-1"/>
          <w:sz w:val="24"/>
        </w:rPr>
        <w:t> </w:t>
      </w:r>
      <w:r>
        <w:rPr>
          <w:sz w:val="24"/>
        </w:rPr>
        <w:t>on</w:t>
      </w:r>
      <w:r>
        <w:rPr>
          <w:spacing w:val="-1"/>
          <w:sz w:val="24"/>
        </w:rPr>
        <w:t> </w:t>
      </w:r>
      <w:r>
        <w:rPr>
          <w:sz w:val="24"/>
        </w:rPr>
        <w:t>the</w:t>
      </w:r>
      <w:r>
        <w:rPr>
          <w:spacing w:val="-1"/>
          <w:sz w:val="24"/>
        </w:rPr>
        <w:t> </w:t>
      </w:r>
      <w:r>
        <w:rPr>
          <w:sz w:val="24"/>
        </w:rPr>
        <w:t>basis</w:t>
      </w:r>
      <w:r>
        <w:rPr>
          <w:spacing w:val="-1"/>
          <w:sz w:val="24"/>
        </w:rPr>
        <w:t> </w:t>
      </w:r>
      <w:r>
        <w:rPr>
          <w:sz w:val="24"/>
        </w:rPr>
        <w:t>of</w:t>
      </w:r>
      <w:r>
        <w:rPr>
          <w:spacing w:val="-1"/>
          <w:sz w:val="24"/>
        </w:rPr>
        <w:t> </w:t>
      </w:r>
      <w:r>
        <w:rPr>
          <w:sz w:val="24"/>
        </w:rPr>
        <w:t>international</w:t>
      </w:r>
      <w:r>
        <w:rPr>
          <w:spacing w:val="-1"/>
          <w:sz w:val="24"/>
        </w:rPr>
        <w:t> </w:t>
      </w:r>
      <w:r>
        <w:rPr>
          <w:sz w:val="24"/>
        </w:rPr>
        <w:t>legitimacy, particularly</w:t>
      </w:r>
      <w:r>
        <w:rPr>
          <w:spacing w:val="-1"/>
          <w:sz w:val="24"/>
        </w:rPr>
        <w:t> </w:t>
      </w:r>
      <w:r>
        <w:rPr>
          <w:sz w:val="24"/>
        </w:rPr>
        <w:t>UN</w:t>
      </w:r>
      <w:r>
        <w:rPr>
          <w:spacing w:val="-1"/>
          <w:sz w:val="24"/>
        </w:rPr>
        <w:t> </w:t>
      </w:r>
      <w:r>
        <w:rPr>
          <w:sz w:val="24"/>
        </w:rPr>
        <w:t>Security Council Resolutions 242 and 338, as well as the principle of exchanging of land</w:t>
      </w:r>
      <w:r>
        <w:rPr>
          <w:spacing w:val="-15"/>
          <w:sz w:val="24"/>
        </w:rPr>
        <w:t> </w:t>
      </w:r>
      <w:r>
        <w:rPr>
          <w:sz w:val="24"/>
        </w:rPr>
        <w:t>for</w:t>
      </w:r>
      <w:r>
        <w:rPr>
          <w:spacing w:val="-15"/>
          <w:sz w:val="24"/>
        </w:rPr>
        <w:t> </w:t>
      </w:r>
      <w:r>
        <w:rPr>
          <w:sz w:val="24"/>
        </w:rPr>
        <w:t>peace</w:t>
      </w:r>
      <w:r>
        <w:rPr>
          <w:spacing w:val="-15"/>
          <w:sz w:val="24"/>
        </w:rPr>
        <w:t> </w:t>
      </w:r>
      <w:r>
        <w:rPr>
          <w:sz w:val="24"/>
        </w:rPr>
        <w:t>whose</w:t>
      </w:r>
      <w:r>
        <w:rPr>
          <w:spacing w:val="-15"/>
          <w:sz w:val="24"/>
        </w:rPr>
        <w:t> </w:t>
      </w:r>
      <w:r>
        <w:rPr>
          <w:sz w:val="24"/>
        </w:rPr>
        <w:t>implementation</w:t>
      </w:r>
      <w:r>
        <w:rPr>
          <w:spacing w:val="-15"/>
          <w:sz w:val="24"/>
        </w:rPr>
        <w:t> </w:t>
      </w:r>
      <w:r>
        <w:rPr>
          <w:sz w:val="24"/>
        </w:rPr>
        <w:t>presupposes</w:t>
      </w:r>
      <w:r>
        <w:rPr>
          <w:spacing w:val="-15"/>
          <w:sz w:val="24"/>
        </w:rPr>
        <w:t> </w:t>
      </w:r>
      <w:r>
        <w:rPr>
          <w:sz w:val="24"/>
        </w:rPr>
        <w:t>the</w:t>
      </w:r>
      <w:r>
        <w:rPr>
          <w:spacing w:val="-15"/>
          <w:sz w:val="24"/>
        </w:rPr>
        <w:t> </w:t>
      </w:r>
      <w:r>
        <w:rPr>
          <w:sz w:val="24"/>
        </w:rPr>
        <w:t>Israeli</w:t>
      </w:r>
      <w:r>
        <w:rPr>
          <w:spacing w:val="-15"/>
          <w:sz w:val="24"/>
        </w:rPr>
        <w:t> </w:t>
      </w:r>
      <w:r>
        <w:rPr>
          <w:sz w:val="24"/>
        </w:rPr>
        <w:t>withdrawal</w:t>
      </w:r>
      <w:r>
        <w:rPr>
          <w:spacing w:val="-15"/>
          <w:sz w:val="24"/>
        </w:rPr>
        <w:t> </w:t>
      </w:r>
      <w:r>
        <w:rPr>
          <w:sz w:val="24"/>
        </w:rPr>
        <w:t>from all the Palestinian and Arab territories occupied since 1967, including Jerusalem, the Golan Heights and Southern Lebanon;</w:t>
      </w:r>
    </w:p>
    <w:p>
      <w:pPr>
        <w:pStyle w:val="BodyText"/>
      </w:pPr>
    </w:p>
    <w:p>
      <w:pPr>
        <w:pStyle w:val="ListParagraph"/>
        <w:numPr>
          <w:ilvl w:val="0"/>
          <w:numId w:val="1"/>
        </w:numPr>
        <w:tabs>
          <w:tab w:pos="1133" w:val="left" w:leader="none"/>
        </w:tabs>
        <w:spacing w:line="240" w:lineRule="auto" w:before="1" w:after="0"/>
        <w:ind w:left="1136" w:right="236" w:hanging="313"/>
        <w:jc w:val="left"/>
        <w:rPr>
          <w:sz w:val="24"/>
        </w:rPr>
      </w:pPr>
      <w:r>
        <w:rPr>
          <w:sz w:val="24"/>
        </w:rPr>
        <w:t>ALSO ENDORSES the proposal made by President Hosni Mubarak, President of the Arab Republic of Egypt that the Middle East should be free</w:t>
      </w:r>
      <w:r>
        <w:rPr>
          <w:sz w:val="24"/>
        </w:rPr>
        <w:t> of</w:t>
      </w:r>
      <w:r>
        <w:rPr>
          <w:spacing w:val="-15"/>
          <w:sz w:val="24"/>
        </w:rPr>
        <w:t> </w:t>
      </w:r>
      <w:r>
        <w:rPr>
          <w:sz w:val="24"/>
        </w:rPr>
        <w:t>all</w:t>
      </w:r>
      <w:r>
        <w:rPr>
          <w:spacing w:val="-15"/>
          <w:sz w:val="24"/>
        </w:rPr>
        <w:t> </w:t>
      </w:r>
      <w:r>
        <w:rPr>
          <w:sz w:val="24"/>
        </w:rPr>
        <w:t>weapons</w:t>
      </w:r>
      <w:r>
        <w:rPr>
          <w:spacing w:val="-15"/>
          <w:sz w:val="24"/>
        </w:rPr>
        <w:t> </w:t>
      </w:r>
      <w:r>
        <w:rPr>
          <w:sz w:val="24"/>
        </w:rPr>
        <w:t>of</w:t>
      </w:r>
      <w:r>
        <w:rPr>
          <w:spacing w:val="-15"/>
          <w:sz w:val="24"/>
        </w:rPr>
        <w:t> </w:t>
      </w:r>
      <w:r>
        <w:rPr>
          <w:sz w:val="24"/>
        </w:rPr>
        <w:t>mass</w:t>
      </w:r>
      <w:r>
        <w:rPr>
          <w:spacing w:val="-15"/>
          <w:sz w:val="24"/>
        </w:rPr>
        <w:t> </w:t>
      </w:r>
      <w:r>
        <w:rPr>
          <w:sz w:val="24"/>
        </w:rPr>
        <w:t>destruction</w:t>
      </w:r>
      <w:r>
        <w:rPr>
          <w:spacing w:val="-15"/>
          <w:sz w:val="24"/>
        </w:rPr>
        <w:t> </w:t>
      </w:r>
      <w:r>
        <w:rPr>
          <w:sz w:val="24"/>
        </w:rPr>
        <w:t>and</w:t>
      </w:r>
      <w:r>
        <w:rPr>
          <w:spacing w:val="-15"/>
          <w:sz w:val="24"/>
        </w:rPr>
        <w:t> </w:t>
      </w:r>
      <w:r>
        <w:rPr>
          <w:sz w:val="24"/>
        </w:rPr>
        <w:t>CONDEMNS</w:t>
      </w:r>
      <w:r>
        <w:rPr>
          <w:spacing w:val="-14"/>
          <w:sz w:val="24"/>
        </w:rPr>
        <w:t> </w:t>
      </w:r>
      <w:r>
        <w:rPr>
          <w:sz w:val="24"/>
        </w:rPr>
        <w:t>Israel’s</w:t>
      </w:r>
      <w:r>
        <w:rPr>
          <w:spacing w:val="-15"/>
          <w:sz w:val="24"/>
        </w:rPr>
        <w:t> </w:t>
      </w:r>
      <w:r>
        <w:rPr>
          <w:sz w:val="24"/>
        </w:rPr>
        <w:t>refusal</w:t>
      </w:r>
      <w:r>
        <w:rPr>
          <w:spacing w:val="-15"/>
          <w:sz w:val="24"/>
        </w:rPr>
        <w:t> </w:t>
      </w:r>
      <w:r>
        <w:rPr>
          <w:sz w:val="24"/>
        </w:rPr>
        <w:t>to</w:t>
      </w:r>
      <w:r>
        <w:rPr>
          <w:spacing w:val="-13"/>
          <w:sz w:val="24"/>
        </w:rPr>
        <w:t> </w:t>
      </w:r>
      <w:r>
        <w:rPr>
          <w:sz w:val="24"/>
        </w:rPr>
        <w:t>refrain from the production and acquisition of nuclear weapons and REQUESTS the UN</w:t>
      </w:r>
      <w:r>
        <w:rPr>
          <w:spacing w:val="-10"/>
          <w:sz w:val="24"/>
        </w:rPr>
        <w:t> </w:t>
      </w:r>
      <w:r>
        <w:rPr>
          <w:sz w:val="24"/>
        </w:rPr>
        <w:t>Security</w:t>
      </w:r>
      <w:r>
        <w:rPr>
          <w:spacing w:val="-10"/>
          <w:sz w:val="24"/>
        </w:rPr>
        <w:t> </w:t>
      </w:r>
      <w:r>
        <w:rPr>
          <w:sz w:val="24"/>
        </w:rPr>
        <w:t>Council</w:t>
      </w:r>
      <w:r>
        <w:rPr>
          <w:spacing w:val="-10"/>
          <w:sz w:val="24"/>
        </w:rPr>
        <w:t> </w:t>
      </w:r>
      <w:r>
        <w:rPr>
          <w:sz w:val="24"/>
        </w:rPr>
        <w:t>to</w:t>
      </w:r>
      <w:r>
        <w:rPr>
          <w:spacing w:val="-8"/>
          <w:sz w:val="24"/>
        </w:rPr>
        <w:t> </w:t>
      </w:r>
      <w:r>
        <w:rPr>
          <w:sz w:val="24"/>
        </w:rPr>
        <w:t>take</w:t>
      </w:r>
      <w:r>
        <w:rPr>
          <w:spacing w:val="-10"/>
          <w:sz w:val="24"/>
        </w:rPr>
        <w:t> </w:t>
      </w:r>
      <w:r>
        <w:rPr>
          <w:sz w:val="24"/>
        </w:rPr>
        <w:t>all</w:t>
      </w:r>
      <w:r>
        <w:rPr>
          <w:spacing w:val="-10"/>
          <w:sz w:val="24"/>
        </w:rPr>
        <w:t> </w:t>
      </w:r>
      <w:r>
        <w:rPr>
          <w:sz w:val="24"/>
        </w:rPr>
        <w:t>necessary</w:t>
      </w:r>
      <w:r>
        <w:rPr>
          <w:spacing w:val="-10"/>
          <w:sz w:val="24"/>
        </w:rPr>
        <w:t> </w:t>
      </w:r>
      <w:r>
        <w:rPr>
          <w:sz w:val="24"/>
        </w:rPr>
        <w:t>measures</w:t>
      </w:r>
      <w:r>
        <w:rPr>
          <w:spacing w:val="-10"/>
          <w:sz w:val="24"/>
        </w:rPr>
        <w:t> </w:t>
      </w:r>
      <w:r>
        <w:rPr>
          <w:sz w:val="24"/>
        </w:rPr>
        <w:t>to</w:t>
      </w:r>
      <w:r>
        <w:rPr>
          <w:spacing w:val="-9"/>
          <w:sz w:val="24"/>
        </w:rPr>
        <w:t> </w:t>
      </w:r>
      <w:r>
        <w:rPr>
          <w:sz w:val="24"/>
        </w:rPr>
        <w:t>destroy</w:t>
      </w:r>
      <w:r>
        <w:rPr>
          <w:spacing w:val="-10"/>
          <w:sz w:val="24"/>
        </w:rPr>
        <w:t> </w:t>
      </w:r>
      <w:r>
        <w:rPr>
          <w:sz w:val="24"/>
        </w:rPr>
        <w:t>these</w:t>
      </w:r>
      <w:r>
        <w:rPr>
          <w:spacing w:val="-10"/>
          <w:sz w:val="24"/>
        </w:rPr>
        <w:t> </w:t>
      </w:r>
      <w:r>
        <w:rPr>
          <w:sz w:val="24"/>
        </w:rPr>
        <w:t>weapons;</w:t>
      </w:r>
    </w:p>
    <w:p>
      <w:pPr>
        <w:pStyle w:val="BodyText"/>
        <w:spacing w:before="11"/>
        <w:rPr>
          <w:sz w:val="23"/>
        </w:rPr>
      </w:pPr>
    </w:p>
    <w:p>
      <w:pPr>
        <w:pStyle w:val="ListParagraph"/>
        <w:numPr>
          <w:ilvl w:val="0"/>
          <w:numId w:val="1"/>
        </w:numPr>
        <w:tabs>
          <w:tab w:pos="1133" w:val="left" w:leader="none"/>
        </w:tabs>
        <w:spacing w:line="240" w:lineRule="auto" w:before="0" w:after="0"/>
        <w:ind w:left="1137" w:right="433" w:hanging="313"/>
        <w:jc w:val="left"/>
        <w:rPr>
          <w:sz w:val="24"/>
        </w:rPr>
      </w:pPr>
      <w:r>
        <w:rPr>
          <w:sz w:val="24"/>
        </w:rPr>
        <w:t>REQUESTS the organizers of the Peace Conference to invite the OAU Secretary-General to the Conference alongside other organizations, taking into</w:t>
      </w:r>
      <w:r>
        <w:rPr>
          <w:spacing w:val="-15"/>
          <w:sz w:val="24"/>
        </w:rPr>
        <w:t> </w:t>
      </w:r>
      <w:r>
        <w:rPr>
          <w:sz w:val="24"/>
        </w:rPr>
        <w:t>account</w:t>
      </w:r>
      <w:r>
        <w:rPr>
          <w:spacing w:val="-13"/>
          <w:sz w:val="24"/>
        </w:rPr>
        <w:t> </w:t>
      </w:r>
      <w:r>
        <w:rPr>
          <w:sz w:val="24"/>
        </w:rPr>
        <w:t>the</w:t>
      </w:r>
      <w:r>
        <w:rPr>
          <w:spacing w:val="-15"/>
          <w:sz w:val="24"/>
        </w:rPr>
        <w:t> </w:t>
      </w:r>
      <w:r>
        <w:rPr>
          <w:sz w:val="24"/>
        </w:rPr>
        <w:t>OAU’S</w:t>
      </w:r>
      <w:r>
        <w:rPr>
          <w:spacing w:val="-15"/>
          <w:sz w:val="24"/>
        </w:rPr>
        <w:t> </w:t>
      </w:r>
      <w:r>
        <w:rPr>
          <w:sz w:val="24"/>
        </w:rPr>
        <w:t>interests</w:t>
      </w:r>
      <w:r>
        <w:rPr>
          <w:spacing w:val="-15"/>
          <w:sz w:val="24"/>
        </w:rPr>
        <w:t> </w:t>
      </w:r>
      <w:r>
        <w:rPr>
          <w:sz w:val="24"/>
        </w:rPr>
        <w:t>in</w:t>
      </w:r>
      <w:r>
        <w:rPr>
          <w:spacing w:val="-15"/>
          <w:sz w:val="24"/>
        </w:rPr>
        <w:t> </w:t>
      </w:r>
      <w:r>
        <w:rPr>
          <w:sz w:val="24"/>
        </w:rPr>
        <w:t>the</w:t>
      </w:r>
      <w:r>
        <w:rPr>
          <w:spacing w:val="-15"/>
          <w:sz w:val="24"/>
        </w:rPr>
        <w:t> </w:t>
      </w:r>
      <w:r>
        <w:rPr>
          <w:sz w:val="24"/>
        </w:rPr>
        <w:t>establishment</w:t>
      </w:r>
      <w:r>
        <w:rPr>
          <w:spacing w:val="-13"/>
          <w:sz w:val="24"/>
        </w:rPr>
        <w:t> </w:t>
      </w:r>
      <w:r>
        <w:rPr>
          <w:sz w:val="24"/>
        </w:rPr>
        <w:t>of</w:t>
      </w:r>
      <w:r>
        <w:rPr>
          <w:spacing w:val="-15"/>
          <w:sz w:val="24"/>
        </w:rPr>
        <w:t> </w:t>
      </w:r>
      <w:r>
        <w:rPr>
          <w:sz w:val="24"/>
        </w:rPr>
        <w:t>peace</w:t>
      </w:r>
      <w:r>
        <w:rPr>
          <w:spacing w:val="-15"/>
          <w:sz w:val="24"/>
        </w:rPr>
        <w:t> </w:t>
      </w:r>
      <w:r>
        <w:rPr>
          <w:sz w:val="24"/>
        </w:rPr>
        <w:t>in</w:t>
      </w:r>
      <w:r>
        <w:rPr>
          <w:spacing w:val="-15"/>
          <w:sz w:val="24"/>
        </w:rPr>
        <w:t> </w:t>
      </w:r>
      <w:r>
        <w:rPr>
          <w:sz w:val="24"/>
        </w:rPr>
        <w:t>the</w:t>
      </w:r>
      <w:r>
        <w:rPr>
          <w:spacing w:val="-15"/>
          <w:sz w:val="24"/>
        </w:rPr>
        <w:t> </w:t>
      </w:r>
      <w:r>
        <w:rPr>
          <w:sz w:val="24"/>
        </w:rPr>
        <w:t>Middle East and in the search for a just solution to the Palestinian problem;</w:t>
      </w:r>
    </w:p>
    <w:p>
      <w:pPr>
        <w:spacing w:after="0" w:line="240" w:lineRule="auto"/>
        <w:jc w:val="left"/>
        <w:rPr>
          <w:sz w:val="24"/>
        </w:rPr>
        <w:sectPr>
          <w:headerReference w:type="default" r:id="rId5"/>
          <w:type w:val="continuous"/>
          <w:pgSz w:w="12240" w:h="15840"/>
          <w:pgMar w:header="1447" w:footer="0" w:top="1700" w:bottom="280" w:left="1700" w:right="1720"/>
          <w:pgNumType w:start="1"/>
        </w:sectPr>
      </w:pPr>
    </w:p>
    <w:p>
      <w:pPr>
        <w:pStyle w:val="BodyText"/>
        <w:spacing w:line="274" w:lineRule="exact"/>
        <w:ind w:left="104"/>
      </w:pPr>
      <w:r>
        <w:rPr/>
        <w:t>Page</w:t>
      </w:r>
      <w:r>
        <w:rPr>
          <w:spacing w:val="-2"/>
        </w:rPr>
        <w:t> </w:t>
      </w:r>
      <w:r>
        <w:rPr>
          <w:spacing w:val="-5"/>
        </w:rPr>
        <w:t>Two</w:t>
      </w:r>
    </w:p>
    <w:p>
      <w:pPr>
        <w:pStyle w:val="BodyText"/>
      </w:pPr>
    </w:p>
    <w:p>
      <w:pPr>
        <w:pStyle w:val="ListParagraph"/>
        <w:numPr>
          <w:ilvl w:val="0"/>
          <w:numId w:val="1"/>
        </w:numPr>
        <w:tabs>
          <w:tab w:pos="1133" w:val="left" w:leader="none"/>
        </w:tabs>
        <w:spacing w:line="240" w:lineRule="auto" w:before="0" w:after="0"/>
        <w:ind w:left="1137" w:right="571" w:hanging="313"/>
        <w:jc w:val="left"/>
        <w:rPr>
          <w:sz w:val="24"/>
        </w:rPr>
      </w:pPr>
      <w:r>
        <w:rPr>
          <w:sz w:val="24"/>
        </w:rPr>
        <w:t>CALLS UPON all States, international organizations and Investment Institutions to refrain from lending any kind of support to Israel in its practices in the occupied territories and from having any kind of cooperation</w:t>
      </w:r>
      <w:r>
        <w:rPr>
          <w:spacing w:val="-6"/>
          <w:sz w:val="24"/>
        </w:rPr>
        <w:t> </w:t>
      </w:r>
      <w:r>
        <w:rPr>
          <w:sz w:val="24"/>
        </w:rPr>
        <w:t>with</w:t>
      </w:r>
      <w:r>
        <w:rPr>
          <w:spacing w:val="-6"/>
          <w:sz w:val="24"/>
        </w:rPr>
        <w:t> </w:t>
      </w:r>
      <w:r>
        <w:rPr>
          <w:sz w:val="24"/>
        </w:rPr>
        <w:t>that</w:t>
      </w:r>
      <w:r>
        <w:rPr>
          <w:spacing w:val="-4"/>
          <w:sz w:val="24"/>
        </w:rPr>
        <w:t> </w:t>
      </w:r>
      <w:r>
        <w:rPr>
          <w:sz w:val="24"/>
        </w:rPr>
        <w:t>country</w:t>
      </w:r>
      <w:r>
        <w:rPr>
          <w:spacing w:val="-6"/>
          <w:sz w:val="24"/>
        </w:rPr>
        <w:t> </w:t>
      </w:r>
      <w:r>
        <w:rPr>
          <w:sz w:val="24"/>
        </w:rPr>
        <w:t>which</w:t>
      </w:r>
      <w:r>
        <w:rPr>
          <w:spacing w:val="-6"/>
          <w:sz w:val="24"/>
        </w:rPr>
        <w:t> </w:t>
      </w:r>
      <w:r>
        <w:rPr>
          <w:sz w:val="24"/>
        </w:rPr>
        <w:t>may</w:t>
      </w:r>
      <w:r>
        <w:rPr>
          <w:spacing w:val="-6"/>
          <w:sz w:val="24"/>
        </w:rPr>
        <w:t> </w:t>
      </w:r>
      <w:r>
        <w:rPr>
          <w:sz w:val="24"/>
        </w:rPr>
        <w:t>enable</w:t>
      </w:r>
      <w:r>
        <w:rPr>
          <w:spacing w:val="-6"/>
          <w:sz w:val="24"/>
        </w:rPr>
        <w:t> </w:t>
      </w:r>
      <w:r>
        <w:rPr>
          <w:sz w:val="24"/>
        </w:rPr>
        <w:t>it</w:t>
      </w:r>
      <w:r>
        <w:rPr>
          <w:spacing w:val="-4"/>
          <w:sz w:val="24"/>
        </w:rPr>
        <w:t> </w:t>
      </w:r>
      <w:r>
        <w:rPr>
          <w:sz w:val="24"/>
        </w:rPr>
        <w:t>to</w:t>
      </w:r>
      <w:r>
        <w:rPr>
          <w:spacing w:val="-4"/>
          <w:sz w:val="24"/>
        </w:rPr>
        <w:t> </w:t>
      </w:r>
      <w:r>
        <w:rPr>
          <w:sz w:val="24"/>
        </w:rPr>
        <w:t>exploit</w:t>
      </w:r>
      <w:r>
        <w:rPr>
          <w:spacing w:val="-4"/>
          <w:sz w:val="24"/>
        </w:rPr>
        <w:t> </w:t>
      </w:r>
      <w:r>
        <w:rPr>
          <w:sz w:val="24"/>
        </w:rPr>
        <w:t>the</w:t>
      </w:r>
      <w:r>
        <w:rPr>
          <w:spacing w:val="-6"/>
          <w:sz w:val="24"/>
        </w:rPr>
        <w:t> </w:t>
      </w:r>
      <w:r>
        <w:rPr>
          <w:sz w:val="24"/>
        </w:rPr>
        <w:t>resources of</w:t>
      </w:r>
      <w:r>
        <w:rPr>
          <w:spacing w:val="-6"/>
          <w:sz w:val="24"/>
        </w:rPr>
        <w:t> </w:t>
      </w:r>
      <w:r>
        <w:rPr>
          <w:sz w:val="24"/>
        </w:rPr>
        <w:t>occupied</w:t>
      </w:r>
      <w:r>
        <w:rPr>
          <w:spacing w:val="-6"/>
          <w:sz w:val="24"/>
        </w:rPr>
        <w:t> </w:t>
      </w:r>
      <w:r>
        <w:rPr>
          <w:sz w:val="24"/>
        </w:rPr>
        <w:t>Arab</w:t>
      </w:r>
      <w:r>
        <w:rPr>
          <w:spacing w:val="-6"/>
          <w:sz w:val="24"/>
        </w:rPr>
        <w:t> </w:t>
      </w:r>
      <w:r>
        <w:rPr>
          <w:sz w:val="24"/>
        </w:rPr>
        <w:t>territories</w:t>
      </w:r>
      <w:r>
        <w:rPr>
          <w:spacing w:val="-6"/>
          <w:sz w:val="24"/>
        </w:rPr>
        <w:t> </w:t>
      </w:r>
      <w:r>
        <w:rPr>
          <w:sz w:val="24"/>
        </w:rPr>
        <w:t>and</w:t>
      </w:r>
      <w:r>
        <w:rPr>
          <w:spacing w:val="-6"/>
          <w:sz w:val="24"/>
        </w:rPr>
        <w:t> </w:t>
      </w:r>
      <w:r>
        <w:rPr>
          <w:sz w:val="24"/>
        </w:rPr>
        <w:t>DEMANDS</w:t>
      </w:r>
      <w:r>
        <w:rPr>
          <w:spacing w:val="-5"/>
          <w:sz w:val="24"/>
        </w:rPr>
        <w:t> </w:t>
      </w:r>
      <w:r>
        <w:rPr>
          <w:sz w:val="24"/>
        </w:rPr>
        <w:t>that</w:t>
      </w:r>
      <w:r>
        <w:rPr>
          <w:spacing w:val="-4"/>
          <w:sz w:val="24"/>
        </w:rPr>
        <w:t> </w:t>
      </w:r>
      <w:r>
        <w:rPr>
          <w:sz w:val="24"/>
        </w:rPr>
        <w:t>Israel</w:t>
      </w:r>
      <w:r>
        <w:rPr>
          <w:spacing w:val="-6"/>
          <w:sz w:val="24"/>
        </w:rPr>
        <w:t> </w:t>
      </w:r>
      <w:r>
        <w:rPr>
          <w:sz w:val="24"/>
        </w:rPr>
        <w:t>put</w:t>
      </w:r>
      <w:r>
        <w:rPr>
          <w:spacing w:val="-4"/>
          <w:sz w:val="24"/>
        </w:rPr>
        <w:t> </w:t>
      </w:r>
      <w:r>
        <w:rPr>
          <w:sz w:val="24"/>
        </w:rPr>
        <w:t>a</w:t>
      </w:r>
      <w:r>
        <w:rPr>
          <w:spacing w:val="-6"/>
          <w:sz w:val="24"/>
        </w:rPr>
        <w:t> </w:t>
      </w:r>
      <w:r>
        <w:rPr>
          <w:sz w:val="24"/>
        </w:rPr>
        <w:t>stop</w:t>
      </w:r>
      <w:r>
        <w:rPr>
          <w:spacing w:val="-6"/>
          <w:sz w:val="24"/>
        </w:rPr>
        <w:t> </w:t>
      </w:r>
      <w:r>
        <w:rPr>
          <w:sz w:val="24"/>
        </w:rPr>
        <w:t>to</w:t>
      </w:r>
      <w:r>
        <w:rPr>
          <w:spacing w:val="-4"/>
          <w:sz w:val="24"/>
        </w:rPr>
        <w:t> </w:t>
      </w:r>
      <w:r>
        <w:rPr>
          <w:sz w:val="24"/>
        </w:rPr>
        <w:t>those </w:t>
      </w:r>
      <w:r>
        <w:rPr>
          <w:spacing w:val="-2"/>
          <w:sz w:val="24"/>
        </w:rPr>
        <w:t>practices;</w:t>
      </w:r>
    </w:p>
    <w:p>
      <w:pPr>
        <w:pStyle w:val="BodyText"/>
        <w:spacing w:before="2"/>
      </w:pPr>
    </w:p>
    <w:p>
      <w:pPr>
        <w:pStyle w:val="ListParagraph"/>
        <w:numPr>
          <w:ilvl w:val="0"/>
          <w:numId w:val="1"/>
        </w:numPr>
        <w:tabs>
          <w:tab w:pos="1133" w:val="left" w:leader="none"/>
        </w:tabs>
        <w:spacing w:line="240" w:lineRule="auto" w:before="0" w:after="0"/>
        <w:ind w:left="1137" w:right="586" w:hanging="313"/>
        <w:jc w:val="both"/>
        <w:rPr>
          <w:sz w:val="24"/>
        </w:rPr>
      </w:pPr>
      <w:r>
        <w:rPr>
          <w:sz w:val="24"/>
        </w:rPr>
        <w:t>REQUESTS</w:t>
      </w:r>
      <w:r>
        <w:rPr>
          <w:spacing w:val="-10"/>
          <w:sz w:val="24"/>
        </w:rPr>
        <w:t> </w:t>
      </w:r>
      <w:r>
        <w:rPr>
          <w:sz w:val="24"/>
        </w:rPr>
        <w:t>the</w:t>
      </w:r>
      <w:r>
        <w:rPr>
          <w:spacing w:val="-11"/>
          <w:sz w:val="24"/>
        </w:rPr>
        <w:t> </w:t>
      </w:r>
      <w:r>
        <w:rPr>
          <w:sz w:val="24"/>
        </w:rPr>
        <w:t>Secretary-General</w:t>
      </w:r>
      <w:r>
        <w:rPr>
          <w:spacing w:val="-11"/>
          <w:sz w:val="24"/>
        </w:rPr>
        <w:t> </w:t>
      </w:r>
      <w:r>
        <w:rPr>
          <w:sz w:val="24"/>
        </w:rPr>
        <w:t>of</w:t>
      </w:r>
      <w:r>
        <w:rPr>
          <w:spacing w:val="-11"/>
          <w:sz w:val="24"/>
        </w:rPr>
        <w:t> </w:t>
      </w:r>
      <w:r>
        <w:rPr>
          <w:sz w:val="24"/>
        </w:rPr>
        <w:t>the</w:t>
      </w:r>
      <w:r>
        <w:rPr>
          <w:spacing w:val="-11"/>
          <w:sz w:val="24"/>
        </w:rPr>
        <w:t> </w:t>
      </w:r>
      <w:r>
        <w:rPr>
          <w:sz w:val="24"/>
        </w:rPr>
        <w:t>OAU</w:t>
      </w:r>
      <w:r>
        <w:rPr>
          <w:spacing w:val="-11"/>
          <w:sz w:val="24"/>
        </w:rPr>
        <w:t> </w:t>
      </w:r>
      <w:r>
        <w:rPr>
          <w:sz w:val="24"/>
        </w:rPr>
        <w:t>to</w:t>
      </w:r>
      <w:r>
        <w:rPr>
          <w:spacing w:val="-9"/>
          <w:sz w:val="24"/>
        </w:rPr>
        <w:t> </w:t>
      </w:r>
      <w:r>
        <w:rPr>
          <w:sz w:val="24"/>
        </w:rPr>
        <w:t>follow</w:t>
      </w:r>
      <w:r>
        <w:rPr>
          <w:spacing w:val="-11"/>
          <w:sz w:val="24"/>
        </w:rPr>
        <w:t> </w:t>
      </w:r>
      <w:r>
        <w:rPr>
          <w:sz w:val="24"/>
        </w:rPr>
        <w:t>the</w:t>
      </w:r>
      <w:r>
        <w:rPr>
          <w:spacing w:val="-11"/>
          <w:sz w:val="24"/>
        </w:rPr>
        <w:t> </w:t>
      </w:r>
      <w:r>
        <w:rPr>
          <w:sz w:val="24"/>
        </w:rPr>
        <w:t>development of</w:t>
      </w:r>
      <w:r>
        <w:rPr>
          <w:spacing w:val="-8"/>
          <w:sz w:val="24"/>
        </w:rPr>
        <w:t> </w:t>
      </w:r>
      <w:r>
        <w:rPr>
          <w:sz w:val="24"/>
        </w:rPr>
        <w:t>the</w:t>
      </w:r>
      <w:r>
        <w:rPr>
          <w:spacing w:val="-8"/>
          <w:sz w:val="24"/>
        </w:rPr>
        <w:t> </w:t>
      </w:r>
      <w:r>
        <w:rPr>
          <w:sz w:val="24"/>
        </w:rPr>
        <w:t>Situation</w:t>
      </w:r>
      <w:r>
        <w:rPr>
          <w:spacing w:val="-8"/>
          <w:sz w:val="24"/>
        </w:rPr>
        <w:t> </w:t>
      </w:r>
      <w:r>
        <w:rPr>
          <w:sz w:val="24"/>
        </w:rPr>
        <w:t>in</w:t>
      </w:r>
      <w:r>
        <w:rPr>
          <w:spacing w:val="-8"/>
          <w:sz w:val="24"/>
        </w:rPr>
        <w:t> </w:t>
      </w:r>
      <w:r>
        <w:rPr>
          <w:sz w:val="24"/>
        </w:rPr>
        <w:t>the</w:t>
      </w:r>
      <w:r>
        <w:rPr>
          <w:spacing w:val="-8"/>
          <w:sz w:val="24"/>
        </w:rPr>
        <w:t> </w:t>
      </w:r>
      <w:r>
        <w:rPr>
          <w:sz w:val="24"/>
        </w:rPr>
        <w:t>Middle</w:t>
      </w:r>
      <w:r>
        <w:rPr>
          <w:spacing w:val="-8"/>
          <w:sz w:val="24"/>
        </w:rPr>
        <w:t> </w:t>
      </w:r>
      <w:r>
        <w:rPr>
          <w:sz w:val="24"/>
        </w:rPr>
        <w:t>East</w:t>
      </w:r>
      <w:r>
        <w:rPr>
          <w:spacing w:val="-5"/>
          <w:sz w:val="24"/>
        </w:rPr>
        <w:t> </w:t>
      </w:r>
      <w:r>
        <w:rPr>
          <w:sz w:val="24"/>
        </w:rPr>
        <w:t>and</w:t>
      </w:r>
      <w:r>
        <w:rPr>
          <w:spacing w:val="-8"/>
          <w:sz w:val="24"/>
        </w:rPr>
        <w:t> </w:t>
      </w:r>
      <w:r>
        <w:rPr>
          <w:sz w:val="24"/>
        </w:rPr>
        <w:t>submit</w:t>
      </w:r>
      <w:r>
        <w:rPr>
          <w:spacing w:val="-5"/>
          <w:sz w:val="24"/>
        </w:rPr>
        <w:t> </w:t>
      </w:r>
      <w:r>
        <w:rPr>
          <w:sz w:val="24"/>
        </w:rPr>
        <w:t>a</w:t>
      </w:r>
      <w:r>
        <w:rPr>
          <w:spacing w:val="-8"/>
          <w:sz w:val="24"/>
        </w:rPr>
        <w:t> </w:t>
      </w:r>
      <w:r>
        <w:rPr>
          <w:sz w:val="24"/>
        </w:rPr>
        <w:t>report</w:t>
      </w:r>
      <w:r>
        <w:rPr>
          <w:spacing w:val="-5"/>
          <w:sz w:val="24"/>
        </w:rPr>
        <w:t> </w:t>
      </w:r>
      <w:r>
        <w:rPr>
          <w:sz w:val="24"/>
        </w:rPr>
        <w:t>in</w:t>
      </w:r>
      <w:r>
        <w:rPr>
          <w:spacing w:val="-8"/>
          <w:sz w:val="24"/>
        </w:rPr>
        <w:t> </w:t>
      </w:r>
      <w:r>
        <w:rPr>
          <w:sz w:val="24"/>
        </w:rPr>
        <w:t>this</w:t>
      </w:r>
      <w:r>
        <w:rPr>
          <w:spacing w:val="-8"/>
          <w:sz w:val="24"/>
        </w:rPr>
        <w:t> </w:t>
      </w:r>
      <w:r>
        <w:rPr>
          <w:sz w:val="24"/>
        </w:rPr>
        <w:t>regard</w:t>
      </w:r>
      <w:r>
        <w:rPr>
          <w:spacing w:val="-8"/>
          <w:sz w:val="24"/>
        </w:rPr>
        <w:t> </w:t>
      </w:r>
      <w:r>
        <w:rPr>
          <w:sz w:val="24"/>
        </w:rPr>
        <w:t>to</w:t>
      </w:r>
      <w:r>
        <w:rPr>
          <w:spacing w:val="-5"/>
          <w:sz w:val="24"/>
        </w:rPr>
        <w:t> </w:t>
      </w:r>
      <w:r>
        <w:rPr>
          <w:sz w:val="24"/>
        </w:rPr>
        <w:t>the next Ordinary Session of the OAU Council of Ministers.</w:t>
      </w:r>
    </w:p>
    <w:sectPr>
      <w:pgSz w:w="12240" w:h="15840"/>
      <w:pgMar w:header="1447" w:footer="0" w:top="170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239998pt;margin-top:71.346642pt;width:131.0500pt;height:15.3pt;mso-position-horizontal-relative:page;mso-position-vertical-relative:page;z-index:-15757824" type="#_x0000_t202" id="docshape1" filled="false" stroked="false">
          <v:textbox inset="0,0,0,0">
            <w:txbxContent>
              <w:p>
                <w:pPr>
                  <w:pStyle w:val="BodyText"/>
                  <w:spacing w:before="10"/>
                  <w:ind w:left="20"/>
                </w:pPr>
                <w:r>
                  <w:rPr/>
                  <w:t>CM/Res.1393</w:t>
                </w:r>
                <w:r>
                  <w:rPr>
                    <w:spacing w:val="-5"/>
                  </w:rPr>
                  <w:t> </w:t>
                </w:r>
                <w:r>
                  <w:rPr/>
                  <w:t>(LVI)</w:t>
                </w:r>
                <w:r>
                  <w:rPr>
                    <w:spacing w:val="-4"/>
                  </w:rPr>
                  <w:t> Rev.1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37" w:hanging="308"/>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08" w:hanging="308"/>
      </w:pPr>
      <w:rPr>
        <w:rFonts w:hint="default"/>
        <w:lang w:val="en-US" w:eastAsia="en-US" w:bidi="ar-SA"/>
      </w:rPr>
    </w:lvl>
    <w:lvl w:ilvl="2">
      <w:start w:val="0"/>
      <w:numFmt w:val="bullet"/>
      <w:lvlText w:val="•"/>
      <w:lvlJc w:val="left"/>
      <w:pPr>
        <w:ind w:left="2676" w:hanging="308"/>
      </w:pPr>
      <w:rPr>
        <w:rFonts w:hint="default"/>
        <w:lang w:val="en-US" w:eastAsia="en-US" w:bidi="ar-SA"/>
      </w:rPr>
    </w:lvl>
    <w:lvl w:ilvl="3">
      <w:start w:val="0"/>
      <w:numFmt w:val="bullet"/>
      <w:lvlText w:val="•"/>
      <w:lvlJc w:val="left"/>
      <w:pPr>
        <w:ind w:left="3444" w:hanging="308"/>
      </w:pPr>
      <w:rPr>
        <w:rFonts w:hint="default"/>
        <w:lang w:val="en-US" w:eastAsia="en-US" w:bidi="ar-SA"/>
      </w:rPr>
    </w:lvl>
    <w:lvl w:ilvl="4">
      <w:start w:val="0"/>
      <w:numFmt w:val="bullet"/>
      <w:lvlText w:val="•"/>
      <w:lvlJc w:val="left"/>
      <w:pPr>
        <w:ind w:left="4212" w:hanging="308"/>
      </w:pPr>
      <w:rPr>
        <w:rFonts w:hint="default"/>
        <w:lang w:val="en-US" w:eastAsia="en-US" w:bidi="ar-SA"/>
      </w:rPr>
    </w:lvl>
    <w:lvl w:ilvl="5">
      <w:start w:val="0"/>
      <w:numFmt w:val="bullet"/>
      <w:lvlText w:val="•"/>
      <w:lvlJc w:val="left"/>
      <w:pPr>
        <w:ind w:left="4980" w:hanging="308"/>
      </w:pPr>
      <w:rPr>
        <w:rFonts w:hint="default"/>
        <w:lang w:val="en-US" w:eastAsia="en-US" w:bidi="ar-SA"/>
      </w:rPr>
    </w:lvl>
    <w:lvl w:ilvl="6">
      <w:start w:val="0"/>
      <w:numFmt w:val="bullet"/>
      <w:lvlText w:val="•"/>
      <w:lvlJc w:val="left"/>
      <w:pPr>
        <w:ind w:left="5748" w:hanging="308"/>
      </w:pPr>
      <w:rPr>
        <w:rFonts w:hint="default"/>
        <w:lang w:val="en-US" w:eastAsia="en-US" w:bidi="ar-SA"/>
      </w:rPr>
    </w:lvl>
    <w:lvl w:ilvl="7">
      <w:start w:val="0"/>
      <w:numFmt w:val="bullet"/>
      <w:lvlText w:val="•"/>
      <w:lvlJc w:val="left"/>
      <w:pPr>
        <w:ind w:left="6516" w:hanging="308"/>
      </w:pPr>
      <w:rPr>
        <w:rFonts w:hint="default"/>
        <w:lang w:val="en-US" w:eastAsia="en-US" w:bidi="ar-SA"/>
      </w:rPr>
    </w:lvl>
    <w:lvl w:ilvl="8">
      <w:start w:val="0"/>
      <w:numFmt w:val="bullet"/>
      <w:lvlText w:val="•"/>
      <w:lvlJc w:val="left"/>
      <w:pPr>
        <w:ind w:left="7284" w:hanging="30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1115" w:right="1105"/>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37" w:right="236" w:hanging="31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FIFTY-SIXTH ORDINARY SESSION OF THE OAU COUNCIL OF MINISTERS</dc:title>
  <dcterms:created xsi:type="dcterms:W3CDTF">2023-04-11T22:11:28Z</dcterms:created>
  <dcterms:modified xsi:type="dcterms:W3CDTF">2023-04-11T22:11:28Z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