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right="394"/>
        <w:jc w:val="right"/>
      </w:pPr>
      <w:r>
        <w:rPr/>
        <w:t>CM/Res.1481</w:t>
      </w:r>
      <w:r>
        <w:rPr>
          <w:spacing w:val="33"/>
        </w:rPr>
        <w:t> </w:t>
      </w:r>
      <w:r>
        <w:rPr>
          <w:spacing w:val="-4"/>
        </w:rPr>
        <w:t>(LIX)</w:t>
      </w:r>
    </w:p>
    <w:p>
      <w:pPr>
        <w:pStyle w:val="BodyText"/>
        <w:rPr>
          <w:sz w:val="24"/>
        </w:rPr>
      </w:pPr>
    </w:p>
    <w:p>
      <w:pPr>
        <w:pStyle w:val="BodyText"/>
        <w:rPr>
          <w:sz w:val="24"/>
        </w:rPr>
      </w:pPr>
    </w:p>
    <w:p>
      <w:pPr>
        <w:pStyle w:val="BodyText"/>
        <w:spacing w:before="11"/>
        <w:rPr>
          <w:sz w:val="20"/>
        </w:rPr>
      </w:pPr>
    </w:p>
    <w:p>
      <w:pPr>
        <w:pStyle w:val="Title"/>
        <w:spacing w:line="244" w:lineRule="auto"/>
        <w:rPr>
          <w:u w:val="none"/>
        </w:rPr>
      </w:pPr>
      <w:r>
        <w:rPr>
          <w:u w:val="single"/>
        </w:rPr>
        <w:t>RESOLUTION</w:t>
      </w:r>
      <w:r>
        <w:rPr>
          <w:spacing w:val="40"/>
          <w:u w:val="single"/>
        </w:rPr>
        <w:t> </w:t>
      </w:r>
      <w:r>
        <w:rPr>
          <w:u w:val="single"/>
        </w:rPr>
        <w:t>ON</w:t>
      </w:r>
      <w:r>
        <w:rPr>
          <w:spacing w:val="40"/>
          <w:u w:val="single"/>
        </w:rPr>
        <w:t> </w:t>
      </w:r>
      <w:r>
        <w:rPr>
          <w:u w:val="single"/>
        </w:rPr>
        <w:t>THE</w:t>
      </w:r>
      <w:r>
        <w:rPr>
          <w:spacing w:val="40"/>
          <w:u w:val="single"/>
        </w:rPr>
        <w:t> </w:t>
      </w:r>
      <w:r>
        <w:rPr>
          <w:u w:val="single"/>
        </w:rPr>
        <w:t>REPORT</w:t>
      </w:r>
      <w:r>
        <w:rPr>
          <w:spacing w:val="40"/>
          <w:u w:val="single"/>
        </w:rPr>
        <w:t> </w:t>
      </w:r>
      <w:r>
        <w:rPr>
          <w:u w:val="single"/>
        </w:rPr>
        <w:t>OF</w:t>
      </w:r>
      <w:r>
        <w:rPr>
          <w:spacing w:val="40"/>
          <w:u w:val="single"/>
        </w:rPr>
        <w:t> </w:t>
      </w:r>
      <w:r>
        <w:rPr>
          <w:u w:val="single"/>
        </w:rPr>
        <w:t>THE</w:t>
      </w:r>
      <w:r>
        <w:rPr>
          <w:spacing w:val="40"/>
          <w:u w:val="single"/>
        </w:rPr>
        <w:t> </w:t>
      </w:r>
      <w:r>
        <w:rPr>
          <w:u w:val="single"/>
        </w:rPr>
        <w:t>STANDING</w:t>
      </w:r>
      <w:r>
        <w:rPr>
          <w:u w:val="none"/>
        </w:rPr>
        <w:t> </w:t>
      </w:r>
      <w:r>
        <w:rPr>
          <w:u w:val="single"/>
        </w:rPr>
        <w:t>COMMITTEE ON THE REVIEW OF THE SCALE OF ASSESSMENT</w:t>
      </w:r>
      <w:r>
        <w:rPr>
          <w:u w:val="none"/>
        </w:rPr>
        <w:t> </w:t>
      </w:r>
      <w:r>
        <w:rPr>
          <w:u w:val="single"/>
        </w:rPr>
        <w:t>OF THE ORGANIZATION OF AFRICAN UNITY</w:t>
      </w:r>
    </w:p>
    <w:p>
      <w:pPr>
        <w:pStyle w:val="BodyText"/>
        <w:rPr>
          <w:b/>
          <w:sz w:val="20"/>
        </w:rPr>
      </w:pPr>
    </w:p>
    <w:p>
      <w:pPr>
        <w:pStyle w:val="BodyText"/>
        <w:rPr>
          <w:b/>
          <w:sz w:val="20"/>
        </w:rPr>
      </w:pPr>
    </w:p>
    <w:p>
      <w:pPr>
        <w:pStyle w:val="BodyText"/>
        <w:spacing w:before="2"/>
        <w:rPr>
          <w:b/>
          <w:sz w:val="19"/>
        </w:rPr>
      </w:pPr>
    </w:p>
    <w:p>
      <w:pPr>
        <w:pStyle w:val="BodyText"/>
        <w:spacing w:before="96"/>
        <w:ind w:left="415" w:right="124" w:firstLine="1065"/>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Fifty-ninth Ordinary Session in Addis Ababa, Ethiopia, from 31 January to 4 February, 1994,</w:t>
      </w:r>
    </w:p>
    <w:p>
      <w:pPr>
        <w:pStyle w:val="BodyText"/>
        <w:spacing w:before="7"/>
        <w:rPr>
          <w:sz w:val="23"/>
        </w:rPr>
      </w:pPr>
    </w:p>
    <w:p>
      <w:pPr>
        <w:spacing w:before="0"/>
        <w:ind w:left="1481" w:right="0" w:firstLine="0"/>
        <w:jc w:val="left"/>
        <w:rPr>
          <w:sz w:val="22"/>
        </w:rPr>
      </w:pPr>
      <w:r>
        <w:rPr>
          <w:b/>
          <w:sz w:val="22"/>
          <w:u w:val="single"/>
        </w:rPr>
        <w:t>Recalling</w:t>
      </w:r>
      <w:r>
        <w:rPr>
          <w:b/>
          <w:spacing w:val="11"/>
          <w:sz w:val="22"/>
        </w:rPr>
        <w:t> </w:t>
      </w:r>
      <w:r>
        <w:rPr>
          <w:sz w:val="22"/>
        </w:rPr>
        <w:t>Article</w:t>
      </w:r>
      <w:r>
        <w:rPr>
          <w:spacing w:val="7"/>
          <w:sz w:val="22"/>
        </w:rPr>
        <w:t> </w:t>
      </w:r>
      <w:r>
        <w:rPr>
          <w:sz w:val="22"/>
        </w:rPr>
        <w:t>XXIII</w:t>
      </w:r>
      <w:r>
        <w:rPr>
          <w:spacing w:val="7"/>
          <w:sz w:val="22"/>
        </w:rPr>
        <w:t> </w:t>
      </w:r>
      <w:r>
        <w:rPr>
          <w:sz w:val="22"/>
        </w:rPr>
        <w:t>of</w:t>
      </w:r>
      <w:r>
        <w:rPr>
          <w:spacing w:val="7"/>
          <w:sz w:val="22"/>
        </w:rPr>
        <w:t> </w:t>
      </w:r>
      <w:r>
        <w:rPr>
          <w:sz w:val="22"/>
        </w:rPr>
        <w:t>the</w:t>
      </w:r>
      <w:r>
        <w:rPr>
          <w:spacing w:val="7"/>
          <w:sz w:val="22"/>
        </w:rPr>
        <w:t> </w:t>
      </w:r>
      <w:r>
        <w:rPr>
          <w:sz w:val="22"/>
        </w:rPr>
        <w:t>OAU</w:t>
      </w:r>
      <w:r>
        <w:rPr>
          <w:spacing w:val="7"/>
          <w:sz w:val="22"/>
        </w:rPr>
        <w:t> </w:t>
      </w:r>
      <w:r>
        <w:rPr>
          <w:spacing w:val="-2"/>
          <w:sz w:val="22"/>
        </w:rPr>
        <w:t>Charter,</w:t>
      </w:r>
    </w:p>
    <w:p>
      <w:pPr>
        <w:pStyle w:val="BodyText"/>
        <w:spacing w:before="1"/>
        <w:rPr>
          <w:sz w:val="23"/>
        </w:rPr>
      </w:pPr>
    </w:p>
    <w:p>
      <w:pPr>
        <w:pStyle w:val="BodyText"/>
        <w:spacing w:line="244" w:lineRule="auto"/>
        <w:ind w:left="416" w:right="124" w:firstLine="1065"/>
        <w:jc w:val="both"/>
      </w:pPr>
      <w:r>
        <w:rPr>
          <w:b/>
          <w:u w:val="single"/>
        </w:rPr>
        <w:t>Having considered</w:t>
      </w:r>
      <w:r>
        <w:rPr>
          <w:b/>
        </w:rPr>
        <w:t> </w:t>
      </w:r>
      <w:r>
        <w:rPr/>
        <w:t>the report of the Standing Committee on the Review of the OAU Scale of Assessment (Doc.CM/1798 (LIX),</w:t>
      </w:r>
    </w:p>
    <w:p>
      <w:pPr>
        <w:pStyle w:val="BodyText"/>
        <w:spacing w:before="9"/>
      </w:pPr>
    </w:p>
    <w:p>
      <w:pPr>
        <w:pStyle w:val="BodyText"/>
        <w:spacing w:line="244" w:lineRule="auto"/>
        <w:ind w:left="416" w:right="121" w:firstLine="1065"/>
        <w:jc w:val="both"/>
      </w:pPr>
      <w:r>
        <w:rPr>
          <w:b/>
          <w:u w:val="single"/>
        </w:rPr>
        <w:t>Bearing in mind</w:t>
      </w:r>
      <w:r>
        <w:rPr>
          <w:b/>
        </w:rPr>
        <w:t> </w:t>
      </w:r>
      <w:r>
        <w:rPr/>
        <w:t>the need to periodically review the scale of assessment of the organization</w:t>
      </w:r>
      <w:r>
        <w:rPr>
          <w:spacing w:val="40"/>
        </w:rPr>
        <w:t> </w:t>
      </w:r>
      <w:r>
        <w:rPr/>
        <w:t>in</w:t>
      </w:r>
      <w:r>
        <w:rPr>
          <w:spacing w:val="40"/>
        </w:rPr>
        <w:t> </w:t>
      </w:r>
      <w:r>
        <w:rPr/>
        <w:t>the</w:t>
      </w:r>
      <w:r>
        <w:rPr>
          <w:spacing w:val="40"/>
        </w:rPr>
        <w:t> </w:t>
      </w:r>
      <w:r>
        <w:rPr/>
        <w:t>light</w:t>
      </w:r>
      <w:r>
        <w:rPr>
          <w:spacing w:val="40"/>
        </w:rPr>
        <w:t> </w:t>
      </w:r>
      <w:r>
        <w:rPr/>
        <w:t>of</w:t>
      </w:r>
      <w:r>
        <w:rPr>
          <w:spacing w:val="40"/>
        </w:rPr>
        <w:t> </w:t>
      </w:r>
      <w:r>
        <w:rPr/>
        <w:t>the</w:t>
      </w:r>
      <w:r>
        <w:rPr>
          <w:spacing w:val="40"/>
        </w:rPr>
        <w:t> </w:t>
      </w:r>
      <w:r>
        <w:rPr/>
        <w:t>updated</w:t>
      </w:r>
      <w:r>
        <w:rPr>
          <w:spacing w:val="40"/>
        </w:rPr>
        <w:t> </w:t>
      </w:r>
      <w:r>
        <w:rPr/>
        <w:t>socio-economic</w:t>
      </w:r>
      <w:r>
        <w:rPr>
          <w:spacing w:val="40"/>
        </w:rPr>
        <w:t> </w:t>
      </w:r>
      <w:r>
        <w:rPr/>
        <w:t>data</w:t>
      </w:r>
      <w:r>
        <w:rPr>
          <w:spacing w:val="40"/>
        </w:rPr>
        <w:t> </w:t>
      </w:r>
      <w:r>
        <w:rPr/>
        <w:t>reflecting</w:t>
      </w:r>
      <w:r>
        <w:rPr>
          <w:spacing w:val="40"/>
        </w:rPr>
        <w:t> </w:t>
      </w:r>
      <w:r>
        <w:rPr/>
        <w:t>the</w:t>
      </w:r>
      <w:r>
        <w:rPr>
          <w:spacing w:val="40"/>
        </w:rPr>
        <w:t> </w:t>
      </w:r>
      <w:r>
        <w:rPr/>
        <w:t>capacity</w:t>
      </w:r>
      <w:r>
        <w:rPr>
          <w:spacing w:val="40"/>
        </w:rPr>
        <w:t> </w:t>
      </w:r>
      <w:r>
        <w:rPr/>
        <w:t>of Member States to pay,</w:t>
      </w:r>
    </w:p>
    <w:p>
      <w:pPr>
        <w:pStyle w:val="BodyText"/>
        <w:spacing w:before="3"/>
        <w:rPr>
          <w:sz w:val="23"/>
        </w:rPr>
      </w:pPr>
    </w:p>
    <w:p>
      <w:pPr>
        <w:pStyle w:val="BodyText"/>
        <w:spacing w:line="244" w:lineRule="auto"/>
        <w:ind w:left="416" w:right="125" w:firstLine="1065"/>
        <w:jc w:val="both"/>
      </w:pPr>
      <w:r>
        <w:rPr>
          <w:b/>
          <w:u w:val="single"/>
        </w:rPr>
        <w:t>Recalling</w:t>
      </w:r>
      <w:r>
        <w:rPr>
          <w:b/>
        </w:rPr>
        <w:t> </w:t>
      </w:r>
      <w:r>
        <w:rPr/>
        <w:t>Council’s Resolution CM/Res.1130 (XLVII) recognizing the need to review, every five years, the scale of assessment of the Organization in the light of changes likely to occur in the factors agreed on for the establishment of the scale of assessment and the fact that the current scale expires on 31st May, 1994:</w:t>
      </w:r>
    </w:p>
    <w:p>
      <w:pPr>
        <w:pStyle w:val="BodyText"/>
        <w:spacing w:before="6"/>
      </w:pPr>
    </w:p>
    <w:p>
      <w:pPr>
        <w:pStyle w:val="ListParagraph"/>
        <w:numPr>
          <w:ilvl w:val="0"/>
          <w:numId w:val="1"/>
        </w:numPr>
        <w:tabs>
          <w:tab w:pos="2010" w:val="left" w:leader="none"/>
        </w:tabs>
        <w:spacing w:line="244" w:lineRule="auto" w:before="0" w:after="0"/>
        <w:ind w:left="2009" w:right="117" w:hanging="519"/>
        <w:jc w:val="both"/>
        <w:rPr>
          <w:sz w:val="22"/>
        </w:rPr>
      </w:pPr>
      <w:r>
        <w:rPr>
          <w:b/>
          <w:sz w:val="22"/>
        </w:rPr>
        <w:t>TAKES NOTE WITH SATISFACTION</w:t>
      </w:r>
      <w:r>
        <w:rPr>
          <w:sz w:val="22"/>
        </w:rPr>
        <w:t>, the Report of the Standing Committee on the Review of the OAU Scale of Assessment, (Doc.CM/1798 </w:t>
      </w:r>
      <w:r>
        <w:rPr>
          <w:spacing w:val="-2"/>
          <w:sz w:val="22"/>
        </w:rPr>
        <w:t>(LIX);</w:t>
      </w:r>
    </w:p>
    <w:p>
      <w:pPr>
        <w:pStyle w:val="BodyText"/>
        <w:spacing w:before="3"/>
        <w:rPr>
          <w:sz w:val="23"/>
        </w:rPr>
      </w:pPr>
    </w:p>
    <w:p>
      <w:pPr>
        <w:pStyle w:val="ListParagraph"/>
        <w:numPr>
          <w:ilvl w:val="0"/>
          <w:numId w:val="1"/>
        </w:numPr>
        <w:tabs>
          <w:tab w:pos="2010" w:val="left" w:leader="none"/>
        </w:tabs>
        <w:spacing w:line="244" w:lineRule="auto" w:before="0" w:after="0"/>
        <w:ind w:left="2009" w:right="115" w:hanging="519"/>
        <w:jc w:val="both"/>
        <w:rPr>
          <w:sz w:val="22"/>
        </w:rPr>
      </w:pPr>
      <w:r>
        <w:rPr>
          <w:b/>
          <w:sz w:val="22"/>
        </w:rPr>
        <w:t>DECIDES </w:t>
      </w:r>
      <w:r>
        <w:rPr>
          <w:sz w:val="22"/>
        </w:rPr>
        <w:t>to adopt the new Scale of Assessment proposed by the Standing Committee as contained in Table III, Column 4, of Document CM/1798</w:t>
      </w:r>
      <w:r>
        <w:rPr>
          <w:spacing w:val="80"/>
          <w:sz w:val="22"/>
        </w:rPr>
        <w:t> </w:t>
      </w:r>
      <w:r>
        <w:rPr>
          <w:sz w:val="22"/>
        </w:rPr>
        <w:t>(LIX) and further </w:t>
      </w:r>
      <w:r>
        <w:rPr>
          <w:b/>
          <w:sz w:val="22"/>
        </w:rPr>
        <w:t>DECIDES </w:t>
      </w:r>
      <w:r>
        <w:rPr>
          <w:sz w:val="22"/>
        </w:rPr>
        <w:t>that the existing scale of assessment will continue to apply until 31 May, 1995;</w:t>
      </w:r>
    </w:p>
    <w:p>
      <w:pPr>
        <w:pStyle w:val="BodyText"/>
        <w:spacing w:before="10"/>
      </w:pPr>
    </w:p>
    <w:p>
      <w:pPr>
        <w:pStyle w:val="ListParagraph"/>
        <w:numPr>
          <w:ilvl w:val="0"/>
          <w:numId w:val="1"/>
        </w:numPr>
        <w:tabs>
          <w:tab w:pos="2010" w:val="left" w:leader="none"/>
        </w:tabs>
        <w:spacing w:line="244" w:lineRule="auto" w:before="1" w:after="0"/>
        <w:ind w:left="2009" w:right="122" w:hanging="519"/>
        <w:jc w:val="both"/>
        <w:rPr>
          <w:sz w:val="22"/>
        </w:rPr>
      </w:pPr>
      <w:r>
        <w:rPr>
          <w:b/>
          <w:sz w:val="22"/>
        </w:rPr>
        <w:t>MANDATES </w:t>
      </w:r>
      <w:r>
        <w:rPr>
          <w:sz w:val="22"/>
        </w:rPr>
        <w:t>the General Secretariat to implement the new Scale of Assessment which enters into force, for a period of five years, with effect</w:t>
      </w:r>
      <w:r>
        <w:rPr>
          <w:spacing w:val="40"/>
          <w:sz w:val="22"/>
        </w:rPr>
        <w:t> </w:t>
      </w:r>
      <w:r>
        <w:rPr>
          <w:sz w:val="22"/>
        </w:rPr>
        <w:t>from 1 June 1995;</w:t>
      </w:r>
    </w:p>
    <w:p>
      <w:pPr>
        <w:pStyle w:val="BodyText"/>
        <w:spacing w:before="9"/>
      </w:pPr>
    </w:p>
    <w:p>
      <w:pPr>
        <w:pStyle w:val="ListParagraph"/>
        <w:numPr>
          <w:ilvl w:val="0"/>
          <w:numId w:val="1"/>
        </w:numPr>
        <w:tabs>
          <w:tab w:pos="2010" w:val="left" w:leader="none"/>
        </w:tabs>
        <w:spacing w:line="244" w:lineRule="auto" w:before="0" w:after="0"/>
        <w:ind w:left="2009" w:right="122" w:hanging="519"/>
        <w:jc w:val="both"/>
        <w:rPr>
          <w:sz w:val="22"/>
        </w:rPr>
      </w:pPr>
      <w:r>
        <w:rPr>
          <w:b/>
          <w:sz w:val="22"/>
        </w:rPr>
        <w:t>CHARGES </w:t>
      </w:r>
      <w:r>
        <w:rPr>
          <w:sz w:val="22"/>
        </w:rPr>
        <w:t>the Standing Committee to meet and carry out the necessary readjustments to the Scale of Assessment at any time when a new Member State has been admitted and is to pay its contribution to the Organization’s </w:t>
      </w:r>
      <w:r>
        <w:rPr>
          <w:spacing w:val="-2"/>
          <w:sz w:val="22"/>
        </w:rPr>
        <w:t>budget;</w:t>
      </w:r>
    </w:p>
    <w:p>
      <w:pPr>
        <w:pStyle w:val="BodyText"/>
        <w:rPr>
          <w:sz w:val="23"/>
        </w:rPr>
      </w:pPr>
    </w:p>
    <w:p>
      <w:pPr>
        <w:pStyle w:val="ListParagraph"/>
        <w:numPr>
          <w:ilvl w:val="0"/>
          <w:numId w:val="1"/>
        </w:numPr>
        <w:tabs>
          <w:tab w:pos="2010" w:val="left" w:leader="none"/>
        </w:tabs>
        <w:spacing w:line="244" w:lineRule="auto" w:before="0" w:after="0"/>
        <w:ind w:left="2009" w:right="123" w:hanging="519"/>
        <w:jc w:val="both"/>
        <w:rPr>
          <w:sz w:val="22"/>
        </w:rPr>
      </w:pPr>
      <w:r>
        <w:rPr>
          <w:b/>
          <w:sz w:val="22"/>
        </w:rPr>
        <w:t>FURTHER CHARGES </w:t>
      </w:r>
      <w:r>
        <w:rPr>
          <w:sz w:val="22"/>
        </w:rPr>
        <w:t>the Standing Committee to continue to reflect on ways and means of ensuring that, in fixing the scale of assessment, there is greater</w:t>
      </w:r>
      <w:r>
        <w:rPr>
          <w:spacing w:val="40"/>
          <w:sz w:val="22"/>
        </w:rPr>
        <w:t> </w:t>
      </w:r>
      <w:r>
        <w:rPr>
          <w:sz w:val="22"/>
        </w:rPr>
        <w:t>fairness</w:t>
      </w:r>
      <w:r>
        <w:rPr>
          <w:spacing w:val="40"/>
          <w:sz w:val="22"/>
        </w:rPr>
        <w:t> </w:t>
      </w:r>
      <w:r>
        <w:rPr>
          <w:sz w:val="22"/>
        </w:rPr>
        <w:t>in</w:t>
      </w:r>
      <w:r>
        <w:rPr>
          <w:spacing w:val="40"/>
          <w:sz w:val="22"/>
        </w:rPr>
        <w:t> </w:t>
      </w:r>
      <w:r>
        <w:rPr>
          <w:sz w:val="22"/>
        </w:rPr>
        <w:t>the</w:t>
      </w:r>
      <w:r>
        <w:rPr>
          <w:spacing w:val="40"/>
          <w:sz w:val="22"/>
        </w:rPr>
        <w:t> </w:t>
      </w:r>
      <w:r>
        <w:rPr>
          <w:sz w:val="22"/>
        </w:rPr>
        <w:t>distribution</w:t>
      </w:r>
      <w:r>
        <w:rPr>
          <w:spacing w:val="40"/>
          <w:sz w:val="22"/>
        </w:rPr>
        <w:t> </w:t>
      </w:r>
      <w:r>
        <w:rPr>
          <w:sz w:val="22"/>
        </w:rPr>
        <w:t>of</w:t>
      </w:r>
      <w:r>
        <w:rPr>
          <w:spacing w:val="40"/>
          <w:sz w:val="22"/>
        </w:rPr>
        <w:t> </w:t>
      </w:r>
      <w:r>
        <w:rPr>
          <w:sz w:val="22"/>
        </w:rPr>
        <w:t>the</w:t>
      </w:r>
      <w:r>
        <w:rPr>
          <w:spacing w:val="40"/>
          <w:sz w:val="22"/>
        </w:rPr>
        <w:t> </w:t>
      </w:r>
      <w:r>
        <w:rPr>
          <w:sz w:val="22"/>
        </w:rPr>
        <w:t>financial</w:t>
      </w:r>
      <w:r>
        <w:rPr>
          <w:spacing w:val="40"/>
          <w:sz w:val="22"/>
        </w:rPr>
        <w:t> </w:t>
      </w:r>
      <w:r>
        <w:rPr>
          <w:sz w:val="22"/>
        </w:rPr>
        <w:t>burden</w:t>
      </w:r>
      <w:r>
        <w:rPr>
          <w:spacing w:val="40"/>
          <w:sz w:val="22"/>
        </w:rPr>
        <w:t> </w:t>
      </w:r>
      <w:r>
        <w:rPr>
          <w:sz w:val="22"/>
        </w:rPr>
        <w:t>of</w:t>
      </w:r>
      <w:r>
        <w:rPr>
          <w:spacing w:val="40"/>
          <w:sz w:val="22"/>
        </w:rPr>
        <w:t> </w:t>
      </w:r>
      <w:r>
        <w:rPr>
          <w:sz w:val="22"/>
        </w:rPr>
        <w:t>the Organization, taking into account, not only Member State’s capacity to pay, but also other determining political and economic factors.</w:t>
      </w:r>
    </w:p>
    <w:sectPr>
      <w:type w:val="continuous"/>
      <w:pgSz w:w="12240" w:h="15840"/>
      <w:pgMar w:top="100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9" w:hanging="51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706" w:hanging="519"/>
      </w:pPr>
      <w:rPr>
        <w:rFonts w:hint="default"/>
        <w:lang w:val="en-US" w:eastAsia="en-US" w:bidi="ar-SA"/>
      </w:rPr>
    </w:lvl>
    <w:lvl w:ilvl="2">
      <w:start w:val="0"/>
      <w:numFmt w:val="bullet"/>
      <w:lvlText w:val="•"/>
      <w:lvlJc w:val="left"/>
      <w:pPr>
        <w:ind w:left="3412" w:hanging="519"/>
      </w:pPr>
      <w:rPr>
        <w:rFonts w:hint="default"/>
        <w:lang w:val="en-US" w:eastAsia="en-US" w:bidi="ar-SA"/>
      </w:rPr>
    </w:lvl>
    <w:lvl w:ilvl="3">
      <w:start w:val="0"/>
      <w:numFmt w:val="bullet"/>
      <w:lvlText w:val="•"/>
      <w:lvlJc w:val="left"/>
      <w:pPr>
        <w:ind w:left="4118" w:hanging="519"/>
      </w:pPr>
      <w:rPr>
        <w:rFonts w:hint="default"/>
        <w:lang w:val="en-US" w:eastAsia="en-US" w:bidi="ar-SA"/>
      </w:rPr>
    </w:lvl>
    <w:lvl w:ilvl="4">
      <w:start w:val="0"/>
      <w:numFmt w:val="bullet"/>
      <w:lvlText w:val="•"/>
      <w:lvlJc w:val="left"/>
      <w:pPr>
        <w:ind w:left="4824" w:hanging="519"/>
      </w:pPr>
      <w:rPr>
        <w:rFonts w:hint="default"/>
        <w:lang w:val="en-US" w:eastAsia="en-US" w:bidi="ar-SA"/>
      </w:rPr>
    </w:lvl>
    <w:lvl w:ilvl="5">
      <w:start w:val="0"/>
      <w:numFmt w:val="bullet"/>
      <w:lvlText w:val="•"/>
      <w:lvlJc w:val="left"/>
      <w:pPr>
        <w:ind w:left="5530" w:hanging="519"/>
      </w:pPr>
      <w:rPr>
        <w:rFonts w:hint="default"/>
        <w:lang w:val="en-US" w:eastAsia="en-US" w:bidi="ar-SA"/>
      </w:rPr>
    </w:lvl>
    <w:lvl w:ilvl="6">
      <w:start w:val="0"/>
      <w:numFmt w:val="bullet"/>
      <w:lvlText w:val="•"/>
      <w:lvlJc w:val="left"/>
      <w:pPr>
        <w:ind w:left="6236" w:hanging="519"/>
      </w:pPr>
      <w:rPr>
        <w:rFonts w:hint="default"/>
        <w:lang w:val="en-US" w:eastAsia="en-US" w:bidi="ar-SA"/>
      </w:rPr>
    </w:lvl>
    <w:lvl w:ilvl="7">
      <w:start w:val="0"/>
      <w:numFmt w:val="bullet"/>
      <w:lvlText w:val="•"/>
      <w:lvlJc w:val="left"/>
      <w:pPr>
        <w:ind w:left="6942" w:hanging="519"/>
      </w:pPr>
      <w:rPr>
        <w:rFonts w:hint="default"/>
        <w:lang w:val="en-US" w:eastAsia="en-US" w:bidi="ar-SA"/>
      </w:rPr>
    </w:lvl>
    <w:lvl w:ilvl="8">
      <w:start w:val="0"/>
      <w:numFmt w:val="bullet"/>
      <w:lvlText w:val="•"/>
      <w:lvlJc w:val="left"/>
      <w:pPr>
        <w:ind w:left="7648" w:hanging="5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179" w:right="880" w:firstLine="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009" w:right="122" w:hanging="5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FIFTY-NINTH ORDINARY SESSION OF THE COUNCIL OF MINISTERS</dc:title>
  <dcterms:created xsi:type="dcterms:W3CDTF">2023-04-11T22:13:04Z</dcterms:created>
  <dcterms:modified xsi:type="dcterms:W3CDTF">2023-04-11T22:13:04Z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