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right="394"/>
        <w:jc w:val="right"/>
      </w:pPr>
      <w:r>
        <w:rPr/>
        <w:t>CM/Res.1483</w:t>
      </w:r>
      <w:r>
        <w:rPr>
          <w:spacing w:val="33"/>
        </w:rPr>
        <w:t> </w:t>
      </w:r>
      <w:r>
        <w:rPr>
          <w:spacing w:val="-4"/>
        </w:rPr>
        <w:t>(LIX)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spacing w:line="244" w:lineRule="auto"/>
        <w:rPr>
          <w:u w:val="none"/>
        </w:rPr>
      </w:pPr>
      <w:r>
        <w:rPr>
          <w:u w:val="single"/>
        </w:rPr>
        <w:t>RESOLUTION ON THE REPORT OF THE FOURTEENTH</w:t>
      </w:r>
      <w:r>
        <w:rPr>
          <w:u w:val="none"/>
        </w:rPr>
        <w:t> </w:t>
      </w:r>
      <w:r>
        <w:rPr>
          <w:u w:val="single"/>
        </w:rPr>
        <w:t>ORDINARY SESSION OF THE AD-HOC COMMITTEE OF</w:t>
      </w:r>
      <w:r>
        <w:rPr>
          <w:u w:val="none"/>
        </w:rPr>
        <w:t> </w:t>
      </w:r>
      <w:r>
        <w:rPr>
          <w:u w:val="single"/>
        </w:rPr>
        <w:t>FOURTEEN ON STRUCTURAL REFORM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9" w:lineRule="auto" w:before="96"/>
        <w:ind w:left="415" w:right="124" w:firstLine="1065"/>
        <w:jc w:val="both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Fifty-ninth Ordinary Session in Addis Ababa, Ethiopia, from 31 January to 4 February, 1994,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416" w:right="128" w:firstLine="1065"/>
        <w:jc w:val="both"/>
      </w:pPr>
      <w:r>
        <w:rPr>
          <w:b/>
          <w:u w:val="single"/>
        </w:rPr>
        <w:t>Bearing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in</w:t>
      </w:r>
      <w:r>
        <w:rPr>
          <w:b/>
          <w:spacing w:val="40"/>
          <w:u w:val="single"/>
        </w:rPr>
        <w:t> </w:t>
      </w:r>
      <w:r>
        <w:rPr>
          <w:b/>
          <w:u w:val="single"/>
        </w:rPr>
        <w:t>mind</w:t>
      </w:r>
      <w:r>
        <w:rPr>
          <w:b/>
          <w:spacing w:val="40"/>
        </w:rPr>
        <w:t> </w:t>
      </w:r>
      <w:r>
        <w:rPr/>
        <w:t>Provisions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Resolution</w:t>
      </w:r>
      <w:r>
        <w:rPr>
          <w:spacing w:val="40"/>
        </w:rPr>
        <w:t> </w:t>
      </w:r>
      <w:r>
        <w:rPr/>
        <w:t>CM/Res.1365</w:t>
      </w:r>
      <w:r>
        <w:rPr>
          <w:spacing w:val="40"/>
        </w:rPr>
        <w:t> </w:t>
      </w:r>
      <w:r>
        <w:rPr/>
        <w:t>(LV)</w:t>
      </w:r>
      <w:r>
        <w:rPr>
          <w:spacing w:val="40"/>
        </w:rPr>
        <w:t> </w:t>
      </w:r>
      <w:r>
        <w:rPr/>
        <w:t>on</w:t>
      </w:r>
      <w:r>
        <w:rPr>
          <w:spacing w:val="40"/>
        </w:rPr>
        <w:t> </w:t>
      </w:r>
      <w:r>
        <w:rPr/>
        <w:t>the improvement of conditions of service for the staff of the Organization;</w:t>
      </w:r>
    </w:p>
    <w:p>
      <w:pPr>
        <w:pStyle w:val="BodyText"/>
        <w:spacing w:before="9"/>
      </w:pPr>
    </w:p>
    <w:p>
      <w:pPr>
        <w:spacing w:before="0"/>
        <w:ind w:left="1481" w:right="0" w:firstLine="0"/>
        <w:jc w:val="left"/>
        <w:rPr>
          <w:sz w:val="22"/>
        </w:rPr>
      </w:pPr>
      <w:r>
        <w:rPr>
          <w:b/>
          <w:sz w:val="22"/>
          <w:u w:val="single"/>
        </w:rPr>
        <w:t>Convinced</w:t>
      </w:r>
      <w:r>
        <w:rPr>
          <w:b/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imperative</w:t>
      </w:r>
      <w:r>
        <w:rPr>
          <w:spacing w:val="10"/>
          <w:sz w:val="22"/>
        </w:rPr>
        <w:t> </w:t>
      </w:r>
      <w:r>
        <w:rPr>
          <w:sz w:val="22"/>
        </w:rPr>
        <w:t>need</w:t>
      </w:r>
      <w:r>
        <w:rPr>
          <w:spacing w:val="10"/>
          <w:sz w:val="22"/>
        </w:rPr>
        <w:t> </w:t>
      </w:r>
      <w:r>
        <w:rPr>
          <w:spacing w:val="-5"/>
          <w:sz w:val="22"/>
        </w:rPr>
        <w:t>to: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84" w:val="left" w:leader="none"/>
          <w:tab w:pos="3085" w:val="left" w:leader="none"/>
        </w:tabs>
        <w:spacing w:line="244" w:lineRule="auto" w:before="0" w:after="0"/>
        <w:ind w:left="3084" w:right="127" w:hanging="1594"/>
        <w:jc w:val="left"/>
        <w:rPr>
          <w:sz w:val="22"/>
        </w:rPr>
      </w:pPr>
      <w:r>
        <w:rPr>
          <w:sz w:val="22"/>
        </w:rPr>
        <w:t>Establish</w:t>
      </w:r>
      <w:r>
        <w:rPr>
          <w:spacing w:val="40"/>
          <w:sz w:val="22"/>
        </w:rPr>
        <w:t> </w:t>
      </w:r>
      <w:r>
        <w:rPr>
          <w:sz w:val="22"/>
        </w:rPr>
        <w:t>career</w:t>
      </w:r>
      <w:r>
        <w:rPr>
          <w:spacing w:val="40"/>
          <w:sz w:val="22"/>
        </w:rPr>
        <w:t> </w:t>
      </w:r>
      <w:r>
        <w:rPr>
          <w:sz w:val="22"/>
        </w:rPr>
        <w:t>prospects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Technical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General Service Staff;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3075" w:val="left" w:leader="none"/>
          <w:tab w:pos="3076" w:val="left" w:leader="none"/>
        </w:tabs>
        <w:spacing w:line="244" w:lineRule="auto" w:before="0" w:after="0"/>
        <w:ind w:left="3075" w:right="151" w:hanging="1594"/>
        <w:jc w:val="left"/>
        <w:rPr>
          <w:sz w:val="22"/>
        </w:rPr>
      </w:pPr>
      <w:r>
        <w:rPr>
          <w:sz w:val="22"/>
        </w:rPr>
        <w:t>Sustain</w:t>
      </w:r>
      <w:r>
        <w:rPr>
          <w:spacing w:val="80"/>
          <w:w w:val="150"/>
          <w:sz w:val="22"/>
        </w:rPr>
        <w:t> </w:t>
      </w:r>
      <w:r>
        <w:rPr>
          <w:sz w:val="22"/>
        </w:rPr>
        <w:t>the</w:t>
      </w:r>
      <w:r>
        <w:rPr>
          <w:spacing w:val="80"/>
          <w:w w:val="150"/>
          <w:sz w:val="22"/>
        </w:rPr>
        <w:t> </w:t>
      </w:r>
      <w:r>
        <w:rPr>
          <w:sz w:val="22"/>
        </w:rPr>
        <w:t>said</w:t>
      </w:r>
      <w:r>
        <w:rPr>
          <w:spacing w:val="80"/>
          <w:w w:val="150"/>
          <w:sz w:val="22"/>
        </w:rPr>
        <w:t> </w:t>
      </w:r>
      <w:r>
        <w:rPr>
          <w:sz w:val="22"/>
        </w:rPr>
        <w:t>staff</w:t>
      </w:r>
      <w:r>
        <w:rPr>
          <w:spacing w:val="80"/>
          <w:w w:val="150"/>
          <w:sz w:val="22"/>
        </w:rPr>
        <w:t> </w:t>
      </w:r>
      <w:r>
        <w:rPr>
          <w:sz w:val="22"/>
        </w:rPr>
        <w:t>members’</w:t>
      </w:r>
      <w:r>
        <w:rPr>
          <w:spacing w:val="80"/>
          <w:sz w:val="22"/>
        </w:rPr>
        <w:t> </w:t>
      </w:r>
      <w:r>
        <w:rPr>
          <w:sz w:val="22"/>
        </w:rPr>
        <w:t>constant</w:t>
      </w:r>
      <w:r>
        <w:rPr>
          <w:spacing w:val="80"/>
          <w:w w:val="150"/>
          <w:sz w:val="22"/>
        </w:rPr>
        <w:t> </w:t>
      </w:r>
      <w:r>
        <w:rPr>
          <w:sz w:val="22"/>
        </w:rPr>
        <w:t>motivation</w:t>
      </w:r>
      <w:r>
        <w:rPr>
          <w:spacing w:val="80"/>
          <w:w w:val="150"/>
          <w:sz w:val="22"/>
        </w:rPr>
        <w:t> </w:t>
      </w:r>
      <w:r>
        <w:rPr>
          <w:sz w:val="22"/>
        </w:rPr>
        <w:t>and commitment to the organization;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3075" w:val="left" w:leader="none"/>
          <w:tab w:pos="3076" w:val="left" w:leader="none"/>
        </w:tabs>
        <w:spacing w:line="249" w:lineRule="auto" w:before="0" w:after="0"/>
        <w:ind w:left="3075" w:right="127" w:hanging="1594"/>
        <w:jc w:val="left"/>
        <w:rPr>
          <w:sz w:val="22"/>
        </w:rPr>
      </w:pPr>
      <w:r>
        <w:rPr>
          <w:sz w:val="22"/>
        </w:rPr>
        <w:t>Ensure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progress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careers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such</w:t>
      </w:r>
      <w:r>
        <w:rPr>
          <w:spacing w:val="40"/>
          <w:sz w:val="22"/>
        </w:rPr>
        <w:t> </w:t>
      </w:r>
      <w:r>
        <w:rPr>
          <w:sz w:val="22"/>
        </w:rPr>
        <w:t>staff</w:t>
      </w:r>
      <w:r>
        <w:rPr>
          <w:spacing w:val="40"/>
          <w:sz w:val="22"/>
        </w:rPr>
        <w:t> </w:t>
      </w:r>
      <w:r>
        <w:rPr>
          <w:sz w:val="22"/>
        </w:rPr>
        <w:t>members</w:t>
      </w:r>
      <w:r>
        <w:rPr>
          <w:spacing w:val="40"/>
          <w:sz w:val="22"/>
        </w:rPr>
        <w:t> </w:t>
      </w:r>
      <w:r>
        <w:rPr>
          <w:sz w:val="22"/>
        </w:rPr>
        <w:t>is commensurate with their work performance and dedication.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4" w:lineRule="auto"/>
        <w:ind w:left="415" w:right="114" w:firstLine="1065"/>
        <w:jc w:val="both"/>
      </w:pPr>
      <w:r>
        <w:rPr>
          <w:b/>
          <w:u w:val="single"/>
        </w:rPr>
        <w:t>Having considered</w:t>
      </w:r>
      <w:r>
        <w:rPr>
          <w:b/>
        </w:rPr>
        <w:t> </w:t>
      </w:r>
      <w:r>
        <w:rPr/>
        <w:t>the report of the Fourteenth Ordinary Session of the </w:t>
      </w:r>
      <w:r>
        <w:rPr>
          <w:u w:val="single"/>
        </w:rPr>
        <w:t>Ad-hoc</w:t>
      </w:r>
      <w:r>
        <w:rPr/>
        <w:t> Committee of Fourteen on OAU Structural Reform regarding the proposed OAU Scheme of Service and Career Development, Document CM/1797 (LIX) as well as the directive given by the Advisory Committee to the General Secretariat during its Fifty-ninth Session on Administrative, Financial and Budgetary Matters (Doc. CM/1800 (LIX)):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09" w:val="left" w:leader="none"/>
          <w:tab w:pos="2010" w:val="left" w:leader="none"/>
        </w:tabs>
        <w:spacing w:line="244" w:lineRule="auto" w:before="1" w:after="0"/>
        <w:ind w:left="2009" w:right="128" w:hanging="519"/>
        <w:jc w:val="left"/>
        <w:rPr>
          <w:b/>
          <w:sz w:val="22"/>
        </w:rPr>
      </w:pPr>
      <w:r>
        <w:rPr>
          <w:b/>
          <w:sz w:val="22"/>
        </w:rPr>
        <w:t>TAKES NOTE </w:t>
      </w:r>
      <w:r>
        <w:rPr>
          <w:sz w:val="22"/>
        </w:rPr>
        <w:t>of the Report of the Fourteenth Ordinary Session of the </w:t>
      </w:r>
      <w:r>
        <w:rPr>
          <w:sz w:val="22"/>
          <w:u w:val="single"/>
        </w:rPr>
        <w:t>Ad-</w:t>
      </w:r>
      <w:r>
        <w:rPr>
          <w:sz w:val="22"/>
        </w:rPr>
        <w:t> </w:t>
      </w:r>
      <w:r>
        <w:rPr>
          <w:sz w:val="22"/>
          <w:u w:val="single"/>
        </w:rPr>
        <w:t>hoc</w:t>
      </w:r>
      <w:r>
        <w:rPr>
          <w:sz w:val="22"/>
        </w:rPr>
        <w:t> Committee of Fourteen on OAU Structural Reform (Doc. CM/1797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(LIX);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2010" w:val="left" w:leader="none"/>
        </w:tabs>
        <w:spacing w:line="244" w:lineRule="auto" w:before="0" w:after="0"/>
        <w:ind w:left="2009" w:right="119" w:hanging="519"/>
        <w:jc w:val="both"/>
        <w:rPr>
          <w:sz w:val="22"/>
        </w:rPr>
      </w:pPr>
      <w:r>
        <w:rPr>
          <w:b/>
          <w:sz w:val="22"/>
        </w:rPr>
        <w:t>CALLS UPON </w:t>
      </w:r>
      <w:r>
        <w:rPr>
          <w:sz w:val="22"/>
        </w:rPr>
        <w:t>the General Secretariat to submit to the Fifteenth Ordinary Session of the OAU Committee of Fourteen on Structural Reform a comprehensive</w:t>
      </w:r>
      <w:r>
        <w:rPr>
          <w:spacing w:val="40"/>
          <w:sz w:val="22"/>
        </w:rPr>
        <w:t> </w:t>
      </w:r>
      <w:r>
        <w:rPr>
          <w:sz w:val="22"/>
        </w:rPr>
        <w:t>career</w:t>
      </w:r>
      <w:r>
        <w:rPr>
          <w:spacing w:val="40"/>
          <w:sz w:val="22"/>
        </w:rPr>
        <w:t> </w:t>
      </w:r>
      <w:r>
        <w:rPr>
          <w:sz w:val="22"/>
        </w:rPr>
        <w:t>development</w:t>
      </w:r>
      <w:r>
        <w:rPr>
          <w:spacing w:val="40"/>
          <w:sz w:val="22"/>
        </w:rPr>
        <w:t> </w:t>
      </w:r>
      <w:r>
        <w:rPr>
          <w:sz w:val="22"/>
        </w:rPr>
        <w:t>plan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all</w:t>
      </w:r>
      <w:r>
        <w:rPr>
          <w:spacing w:val="40"/>
          <w:sz w:val="22"/>
        </w:rPr>
        <w:t> </w:t>
      </w:r>
      <w:r>
        <w:rPr>
          <w:sz w:val="22"/>
        </w:rPr>
        <w:t>categories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staff</w:t>
      </w:r>
      <w:r>
        <w:rPr>
          <w:spacing w:val="40"/>
          <w:sz w:val="22"/>
        </w:rPr>
        <w:t> </w:t>
      </w:r>
      <w:r>
        <w:rPr>
          <w:sz w:val="22"/>
        </w:rPr>
        <w:t>taking into</w:t>
      </w:r>
      <w:r>
        <w:rPr>
          <w:spacing w:val="40"/>
          <w:sz w:val="22"/>
        </w:rPr>
        <w:t> </w:t>
      </w:r>
      <w:r>
        <w:rPr>
          <w:sz w:val="22"/>
        </w:rPr>
        <w:t>consideration the</w:t>
      </w:r>
      <w:r>
        <w:rPr>
          <w:spacing w:val="40"/>
          <w:sz w:val="22"/>
        </w:rPr>
        <w:t> </w:t>
      </w:r>
      <w:r>
        <w:rPr>
          <w:sz w:val="22"/>
        </w:rPr>
        <w:t>conditions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qualifications</w:t>
      </w:r>
      <w:r>
        <w:rPr>
          <w:spacing w:val="40"/>
          <w:sz w:val="22"/>
        </w:rPr>
        <w:t> </w:t>
      </w:r>
      <w:r>
        <w:rPr>
          <w:sz w:val="22"/>
        </w:rPr>
        <w:t>required for each category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post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bearing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mind</w:t>
      </w:r>
      <w:r>
        <w:rPr>
          <w:spacing w:val="40"/>
          <w:sz w:val="22"/>
        </w:rPr>
        <w:t> </w:t>
      </w:r>
      <w:r>
        <w:rPr>
          <w:sz w:val="22"/>
        </w:rPr>
        <w:t>recognized</w:t>
      </w:r>
      <w:r>
        <w:rPr>
          <w:spacing w:val="40"/>
          <w:sz w:val="22"/>
        </w:rPr>
        <w:t> </w:t>
      </w:r>
      <w:r>
        <w:rPr>
          <w:sz w:val="22"/>
        </w:rPr>
        <w:t>international</w:t>
      </w:r>
      <w:r>
        <w:rPr>
          <w:spacing w:val="40"/>
          <w:sz w:val="22"/>
        </w:rPr>
        <w:t> </w:t>
      </w:r>
      <w:r>
        <w:rPr>
          <w:sz w:val="22"/>
        </w:rPr>
        <w:t>criteria</w:t>
      </w:r>
      <w:r>
        <w:rPr>
          <w:spacing w:val="40"/>
          <w:sz w:val="22"/>
        </w:rPr>
        <w:t> </w:t>
      </w:r>
      <w:r>
        <w:rPr>
          <w:sz w:val="22"/>
        </w:rPr>
        <w:t>for such posts;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10" w:val="left" w:leader="none"/>
        </w:tabs>
        <w:spacing w:line="247" w:lineRule="auto" w:before="0" w:after="0"/>
        <w:ind w:left="2009" w:right="130" w:hanging="519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provisional measures proposed for the OAU Technical and General</w:t>
      </w:r>
      <w:r>
        <w:rPr>
          <w:spacing w:val="29"/>
          <w:sz w:val="22"/>
        </w:rPr>
        <w:t> </w:t>
      </w:r>
      <w:r>
        <w:rPr>
          <w:sz w:val="22"/>
        </w:rPr>
        <w:t>Service</w:t>
      </w:r>
      <w:r>
        <w:rPr>
          <w:spacing w:val="29"/>
          <w:sz w:val="22"/>
        </w:rPr>
        <w:t> </w:t>
      </w:r>
      <w:r>
        <w:rPr>
          <w:sz w:val="22"/>
        </w:rPr>
        <w:t>Staff</w:t>
      </w:r>
      <w:r>
        <w:rPr>
          <w:spacing w:val="29"/>
          <w:sz w:val="22"/>
        </w:rPr>
        <w:t> </w:t>
      </w:r>
      <w:r>
        <w:rPr>
          <w:sz w:val="22"/>
        </w:rPr>
        <w:t>as</w:t>
      </w:r>
      <w:r>
        <w:rPr>
          <w:spacing w:val="29"/>
          <w:sz w:val="22"/>
        </w:rPr>
        <w:t> </w:t>
      </w:r>
      <w:r>
        <w:rPr>
          <w:sz w:val="22"/>
        </w:rPr>
        <w:t>recommended</w:t>
      </w:r>
      <w:r>
        <w:rPr>
          <w:spacing w:val="30"/>
          <w:sz w:val="22"/>
        </w:rPr>
        <w:t> </w:t>
      </w:r>
      <w:r>
        <w:rPr>
          <w:sz w:val="22"/>
        </w:rPr>
        <w:t>by</w:t>
      </w:r>
      <w:r>
        <w:rPr>
          <w:spacing w:val="29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Fourteenth</w:t>
      </w:r>
      <w:r>
        <w:rPr>
          <w:spacing w:val="29"/>
          <w:sz w:val="22"/>
        </w:rPr>
        <w:t> </w:t>
      </w:r>
      <w:r>
        <w:rPr>
          <w:sz w:val="22"/>
        </w:rPr>
        <w:t>Ordinary</w:t>
      </w:r>
      <w:r>
        <w:rPr>
          <w:spacing w:val="29"/>
          <w:sz w:val="22"/>
        </w:rPr>
        <w:t> </w:t>
      </w:r>
      <w:r>
        <w:rPr>
          <w:sz w:val="22"/>
        </w:rPr>
        <w:t>Session of the OAU </w:t>
      </w:r>
      <w:r>
        <w:rPr>
          <w:sz w:val="22"/>
          <w:u w:val="single"/>
        </w:rPr>
        <w:t>Ad Hoc</w:t>
      </w:r>
      <w:r>
        <w:rPr>
          <w:sz w:val="22"/>
        </w:rPr>
        <w:t> Committee of Fourteen on Structural Reform (Doc. CM/1797 (LIX));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2010" w:val="left" w:leader="none"/>
        </w:tabs>
        <w:spacing w:line="244" w:lineRule="auto" w:before="1" w:after="0"/>
        <w:ind w:left="2009" w:right="112" w:hanging="519"/>
        <w:jc w:val="both"/>
        <w:rPr>
          <w:sz w:val="22"/>
        </w:rPr>
      </w:pPr>
      <w:r>
        <w:rPr>
          <w:b/>
          <w:sz w:val="22"/>
        </w:rPr>
        <w:t>APPROVES </w:t>
      </w:r>
      <w:r>
        <w:rPr>
          <w:sz w:val="22"/>
        </w:rPr>
        <w:t>the financial implication of US$27,268.00 for the 1994/95 financial year for the implementation of the provisional measures for Technical</w:t>
      </w:r>
      <w:r>
        <w:rPr>
          <w:spacing w:val="62"/>
          <w:sz w:val="22"/>
        </w:rPr>
        <w:t> </w:t>
      </w:r>
      <w:r>
        <w:rPr>
          <w:sz w:val="22"/>
        </w:rPr>
        <w:t>and</w:t>
      </w:r>
      <w:r>
        <w:rPr>
          <w:spacing w:val="63"/>
          <w:sz w:val="22"/>
        </w:rPr>
        <w:t> </w:t>
      </w:r>
      <w:r>
        <w:rPr>
          <w:sz w:val="22"/>
        </w:rPr>
        <w:t>General</w:t>
      </w:r>
      <w:r>
        <w:rPr>
          <w:spacing w:val="62"/>
          <w:sz w:val="22"/>
        </w:rPr>
        <w:t> </w:t>
      </w:r>
      <w:r>
        <w:rPr>
          <w:sz w:val="22"/>
        </w:rPr>
        <w:t>Service</w:t>
      </w:r>
      <w:r>
        <w:rPr>
          <w:spacing w:val="62"/>
          <w:sz w:val="22"/>
        </w:rPr>
        <w:t> </w:t>
      </w:r>
      <w:r>
        <w:rPr>
          <w:sz w:val="22"/>
        </w:rPr>
        <w:t>Staff</w:t>
      </w:r>
      <w:r>
        <w:rPr>
          <w:spacing w:val="62"/>
          <w:sz w:val="22"/>
        </w:rPr>
        <w:t> </w:t>
      </w:r>
      <w:r>
        <w:rPr>
          <w:sz w:val="22"/>
        </w:rPr>
        <w:t>as</w:t>
      </w:r>
      <w:r>
        <w:rPr>
          <w:spacing w:val="62"/>
          <w:sz w:val="22"/>
        </w:rPr>
        <w:t> </w:t>
      </w:r>
      <w:r>
        <w:rPr>
          <w:sz w:val="22"/>
        </w:rPr>
        <w:t>recommended</w:t>
      </w:r>
      <w:r>
        <w:rPr>
          <w:spacing w:val="62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Fifty-ninth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12240" w:h="15840"/>
          <w:pgMar w:top="740" w:bottom="280" w:left="1720" w:right="1460"/>
        </w:sectPr>
      </w:pPr>
    </w:p>
    <w:p>
      <w:pPr>
        <w:pStyle w:val="BodyText"/>
        <w:spacing w:line="244" w:lineRule="auto" w:before="82"/>
        <w:ind w:left="2009"/>
      </w:pPr>
      <w:r>
        <w:rPr/>
        <w:t>Session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the</w:t>
      </w:r>
      <w:r>
        <w:rPr>
          <w:spacing w:val="80"/>
        </w:rPr>
        <w:t> </w:t>
      </w:r>
      <w:r>
        <w:rPr/>
        <w:t>Advisory</w:t>
      </w:r>
      <w:r>
        <w:rPr>
          <w:spacing w:val="80"/>
        </w:rPr>
        <w:t> </w:t>
      </w:r>
      <w:r>
        <w:rPr/>
        <w:t>Committee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Administrative,</w:t>
      </w:r>
      <w:r>
        <w:rPr>
          <w:spacing w:val="80"/>
        </w:rPr>
        <w:t> </w:t>
      </w:r>
      <w:r>
        <w:rPr/>
        <w:t>Budgetary</w:t>
      </w:r>
      <w:r>
        <w:rPr>
          <w:spacing w:val="80"/>
        </w:rPr>
        <w:t> </w:t>
      </w:r>
      <w:r>
        <w:rPr/>
        <w:t>and Financial Matters;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10" w:val="left" w:leader="none"/>
        </w:tabs>
        <w:spacing w:line="244" w:lineRule="auto" w:before="0" w:after="0"/>
        <w:ind w:left="2009" w:right="122" w:hanging="519"/>
        <w:jc w:val="both"/>
        <w:rPr>
          <w:sz w:val="22"/>
        </w:rPr>
      </w:pPr>
      <w:r>
        <w:rPr>
          <w:b/>
          <w:sz w:val="22"/>
        </w:rPr>
        <w:t>AUTHORISES </w:t>
      </w:r>
      <w:r>
        <w:rPr>
          <w:sz w:val="22"/>
        </w:rPr>
        <w:t>the Secretary-General to implement the provisional</w:t>
      </w:r>
      <w:r>
        <w:rPr>
          <w:spacing w:val="80"/>
          <w:w w:val="150"/>
          <w:sz w:val="22"/>
        </w:rPr>
        <w:t> </w:t>
      </w:r>
      <w:r>
        <w:rPr>
          <w:sz w:val="22"/>
        </w:rPr>
        <w:t>measures</w:t>
      </w:r>
      <w:r>
        <w:rPr>
          <w:spacing w:val="40"/>
          <w:sz w:val="22"/>
        </w:rPr>
        <w:t> </w:t>
      </w:r>
      <w:r>
        <w:rPr>
          <w:sz w:val="22"/>
        </w:rPr>
        <w:t>recommended</w:t>
      </w:r>
      <w:r>
        <w:rPr>
          <w:spacing w:val="40"/>
          <w:sz w:val="22"/>
        </w:rPr>
        <w:t> </w:t>
      </w:r>
      <w:r>
        <w:rPr>
          <w:sz w:val="22"/>
        </w:rPr>
        <w:t>by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Fourteenth</w:t>
      </w:r>
      <w:r>
        <w:rPr>
          <w:spacing w:val="40"/>
          <w:sz w:val="22"/>
        </w:rPr>
        <w:t> </w:t>
      </w:r>
      <w:r>
        <w:rPr>
          <w:sz w:val="22"/>
        </w:rPr>
        <w:t>Ordinary</w:t>
      </w:r>
      <w:r>
        <w:rPr>
          <w:spacing w:val="40"/>
          <w:sz w:val="22"/>
        </w:rPr>
        <w:t> </w:t>
      </w:r>
      <w:r>
        <w:rPr>
          <w:sz w:val="22"/>
        </w:rPr>
        <w:t>Session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OAU </w:t>
      </w:r>
      <w:r>
        <w:rPr>
          <w:sz w:val="22"/>
          <w:u w:val="single"/>
        </w:rPr>
        <w:t>Ad-Hoc</w:t>
      </w:r>
      <w:r>
        <w:rPr>
          <w:spacing w:val="40"/>
          <w:sz w:val="22"/>
        </w:rPr>
        <w:t> </w:t>
      </w:r>
      <w:r>
        <w:rPr>
          <w:sz w:val="22"/>
        </w:rPr>
        <w:t>Committee of Fourteen on Structural Reform</w:t>
      </w:r>
      <w:r>
        <w:rPr>
          <w:spacing w:val="40"/>
          <w:sz w:val="22"/>
        </w:rPr>
        <w:t> </w:t>
      </w:r>
      <w:r>
        <w:rPr>
          <w:sz w:val="22"/>
        </w:rPr>
        <w:t>(Doc.</w:t>
      </w:r>
      <w:r>
        <w:rPr>
          <w:spacing w:val="40"/>
          <w:sz w:val="22"/>
        </w:rPr>
        <w:t> </w:t>
      </w:r>
      <w:r>
        <w:rPr>
          <w:sz w:val="22"/>
        </w:rPr>
        <w:t>CM/1797 </w:t>
      </w:r>
      <w:r>
        <w:rPr>
          <w:spacing w:val="-2"/>
          <w:sz w:val="22"/>
        </w:rPr>
        <w:t>(LIX)).</w:t>
      </w:r>
    </w:p>
    <w:sectPr>
      <w:pgSz w:w="12240" w:h="15840"/>
      <w:pgMar w:top="74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Roman"/>
      <w:lvlText w:val="(%1)"/>
      <w:lvlJc w:val="left"/>
      <w:pPr>
        <w:ind w:left="3084" w:hanging="159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4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009" w:hanging="519"/>
        <w:jc w:val="left"/>
      </w:pPr>
      <w:rPr>
        <w:rFonts w:hint="default"/>
        <w:spacing w:val="0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44" w:hanging="5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8" w:hanging="5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3" w:hanging="5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37" w:hanging="5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2" w:hanging="5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5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51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78" w:right="1383" w:firstLine="1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9" w:right="127" w:hanging="5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FIFTY-NINTH ORDINARY SESSION OF THE COUNCIL OF MINISTERS</dc:title>
  <dcterms:created xsi:type="dcterms:W3CDTF">2023-04-11T22:13:11Z</dcterms:created>
  <dcterms:modified xsi:type="dcterms:W3CDTF">2023-04-11T22:13:11Z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