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24"/>
        <w:jc w:val="right"/>
      </w:pPr>
      <w:r>
        <w:rPr/>
        <w:t>CM/Res.1586</w:t>
      </w:r>
      <w:r>
        <w:rPr>
          <w:spacing w:val="28"/>
        </w:rPr>
        <w:t> </w:t>
      </w:r>
      <w:r>
        <w:rPr>
          <w:spacing w:val="-2"/>
        </w:rPr>
        <w:t>(LXII)</w:t>
      </w:r>
    </w:p>
    <w:p>
      <w:pPr>
        <w:pStyle w:val="BodyText"/>
        <w:spacing w:before="6"/>
        <w:ind w:right="118"/>
        <w:jc w:val="right"/>
      </w:pPr>
      <w:r>
        <w:rPr/>
        <w:t>Page</w:t>
      </w:r>
      <w:r>
        <w:rPr>
          <w:spacing w:val="8"/>
        </w:rPr>
        <w:t> </w:t>
      </w:r>
      <w:r>
        <w:rPr>
          <w:spacing w:val="-10"/>
        </w:rPr>
        <w:t>1</w:t>
      </w:r>
    </w:p>
    <w:p>
      <w:pPr>
        <w:pStyle w:val="BodyText"/>
        <w:spacing w:before="5"/>
        <w:rPr>
          <w:sz w:val="23"/>
        </w:rPr>
      </w:pPr>
    </w:p>
    <w:p>
      <w:pPr>
        <w:pStyle w:val="Title"/>
        <w:rPr>
          <w:u w:val="none"/>
        </w:rPr>
      </w:pPr>
      <w:r>
        <w:rPr>
          <w:u w:val="single"/>
        </w:rPr>
        <w:t>RESOLUTION</w:t>
      </w:r>
      <w:r>
        <w:rPr>
          <w:spacing w:val="10"/>
          <w:u w:val="single"/>
        </w:rPr>
        <w:t> </w:t>
      </w:r>
      <w:r>
        <w:rPr>
          <w:u w:val="single"/>
        </w:rPr>
        <w:t>ON</w:t>
      </w:r>
      <w:r>
        <w:rPr>
          <w:spacing w:val="11"/>
          <w:u w:val="single"/>
        </w:rPr>
        <w:t> </w:t>
      </w:r>
      <w:r>
        <w:rPr>
          <w:u w:val="single"/>
        </w:rPr>
        <w:t>THE</w:t>
      </w:r>
      <w:r>
        <w:rPr>
          <w:spacing w:val="11"/>
          <w:u w:val="single"/>
        </w:rPr>
        <w:t> </w:t>
      </w:r>
      <w:r>
        <w:rPr>
          <w:u w:val="single"/>
        </w:rPr>
        <w:t>SITUATION</w:t>
      </w:r>
      <w:r>
        <w:rPr>
          <w:spacing w:val="10"/>
          <w:u w:val="single"/>
        </w:rPr>
        <w:t> </w:t>
      </w:r>
      <w:r>
        <w:rPr>
          <w:u w:val="single"/>
        </w:rPr>
        <w:t>IN</w:t>
      </w:r>
      <w:r>
        <w:rPr>
          <w:spacing w:val="11"/>
          <w:u w:val="single"/>
        </w:rPr>
        <w:t> </w:t>
      </w:r>
      <w:r>
        <w:rPr>
          <w:u w:val="single"/>
        </w:rPr>
        <w:t>SIERRA</w:t>
      </w:r>
      <w:r>
        <w:rPr>
          <w:spacing w:val="11"/>
          <w:u w:val="single"/>
        </w:rPr>
        <w:t> </w:t>
      </w:r>
      <w:r>
        <w:rPr>
          <w:spacing w:val="-2"/>
          <w:u w:val="single"/>
        </w:rPr>
        <w:t>LEONE</w:t>
      </w:r>
    </w:p>
    <w:p>
      <w:pPr>
        <w:pStyle w:val="BodyText"/>
        <w:spacing w:before="4"/>
        <w:rPr>
          <w:b/>
          <w:sz w:val="14"/>
        </w:rPr>
      </w:pPr>
    </w:p>
    <w:p>
      <w:pPr>
        <w:pStyle w:val="BodyText"/>
        <w:spacing w:line="249" w:lineRule="auto" w:before="96"/>
        <w:ind w:left="574" w:right="118" w:firstLine="676"/>
        <w:jc w:val="both"/>
      </w:pPr>
      <w:r>
        <w:rPr/>
        <w:t>The Council of Ministers of the Organization of African Unity, meeting in its Sixty- Second Ordinary Session in Addis Ababa, Ethiopia, from 21 to 23 June, 1995,</w:t>
      </w:r>
    </w:p>
    <w:p>
      <w:pPr>
        <w:pStyle w:val="BodyText"/>
        <w:spacing w:before="3"/>
      </w:pPr>
    </w:p>
    <w:p>
      <w:pPr>
        <w:pStyle w:val="BodyText"/>
        <w:ind w:left="574" w:right="123" w:firstLine="676"/>
        <w:jc w:val="both"/>
      </w:pPr>
      <w:r>
        <w:rPr>
          <w:b/>
          <w:u w:val="single"/>
        </w:rPr>
        <w:t>Having considered</w:t>
      </w:r>
      <w:r>
        <w:rPr>
          <w:b/>
        </w:rPr>
        <w:t> </w:t>
      </w:r>
      <w:r>
        <w:rPr/>
        <w:t>the report of the Secretary-General on the situation in Sierra</w:t>
      </w:r>
      <w:r>
        <w:rPr>
          <w:spacing w:val="40"/>
        </w:rPr>
        <w:t> </w:t>
      </w:r>
      <w:r>
        <w:rPr/>
        <w:t>Leone as contained in Document CM/1884 (LXII) F,</w:t>
      </w:r>
    </w:p>
    <w:p>
      <w:pPr>
        <w:pStyle w:val="BodyText"/>
        <w:spacing w:before="7"/>
        <w:rPr>
          <w:sz w:val="23"/>
        </w:rPr>
      </w:pPr>
    </w:p>
    <w:p>
      <w:pPr>
        <w:pStyle w:val="BodyText"/>
        <w:spacing w:line="244" w:lineRule="auto" w:before="1"/>
        <w:ind w:left="574" w:right="129" w:firstLine="676"/>
        <w:jc w:val="both"/>
      </w:pPr>
      <w:r>
        <w:rPr>
          <w:b/>
          <w:u w:val="single"/>
        </w:rPr>
        <w:t>Having heard</w:t>
      </w:r>
      <w:r>
        <w:rPr>
          <w:b/>
        </w:rPr>
        <w:t> </w:t>
      </w:r>
      <w:r>
        <w:rPr/>
        <w:t>the statements of the delegation of Sierra Leone on the prevailing situation in Sierra Leone,</w:t>
      </w:r>
    </w:p>
    <w:p>
      <w:pPr>
        <w:pStyle w:val="BodyText"/>
        <w:spacing w:before="8"/>
      </w:pPr>
    </w:p>
    <w:p>
      <w:pPr>
        <w:pStyle w:val="BodyText"/>
        <w:spacing w:line="244" w:lineRule="auto"/>
        <w:ind w:left="574" w:right="130" w:firstLine="676"/>
        <w:jc w:val="both"/>
      </w:pPr>
      <w:r>
        <w:rPr>
          <w:b/>
          <w:u w:val="single"/>
        </w:rPr>
        <w:t>Deeply concerned</w:t>
      </w:r>
      <w:r>
        <w:rPr>
          <w:b/>
        </w:rPr>
        <w:t> </w:t>
      </w:r>
      <w:r>
        <w:rPr/>
        <w:t>with the tragic events that have been taking place in Sierra Leone which have resulted in the loss of life, massive destruction of property and displacement of</w:t>
      </w:r>
      <w:r>
        <w:rPr>
          <w:spacing w:val="80"/>
        </w:rPr>
        <w:t> </w:t>
      </w:r>
      <w:r>
        <w:rPr/>
        <w:t>the civilian population in the country and outflow of refugees into neighbouring countries:</w:t>
      </w:r>
    </w:p>
    <w:p>
      <w:pPr>
        <w:pStyle w:val="BodyText"/>
        <w:spacing w:before="10"/>
      </w:pPr>
    </w:p>
    <w:p>
      <w:pPr>
        <w:pStyle w:val="ListParagraph"/>
        <w:numPr>
          <w:ilvl w:val="0"/>
          <w:numId w:val="1"/>
        </w:numPr>
        <w:tabs>
          <w:tab w:pos="1928" w:val="left" w:leader="none"/>
        </w:tabs>
        <w:spacing w:line="247" w:lineRule="auto" w:before="0" w:after="0"/>
        <w:ind w:left="1928" w:right="123" w:hanging="677"/>
        <w:jc w:val="both"/>
        <w:rPr>
          <w:sz w:val="22"/>
        </w:rPr>
      </w:pPr>
      <w:r>
        <w:rPr>
          <w:b/>
          <w:sz w:val="22"/>
        </w:rPr>
        <w:t>EXPRESSES GRAVE CONCERN </w:t>
      </w:r>
      <w:r>
        <w:rPr>
          <w:sz w:val="22"/>
        </w:rPr>
        <w:t>over the worsening conflict situation in Sierra Leone which has resulted in the loss of life, large-scale destruction of property, and massive displacement of the civilian population within the country</w:t>
      </w:r>
      <w:r>
        <w:rPr>
          <w:spacing w:val="40"/>
          <w:sz w:val="22"/>
        </w:rPr>
        <w:t> </w:t>
      </w:r>
      <w:r>
        <w:rPr>
          <w:sz w:val="22"/>
        </w:rPr>
        <w:t>as</w:t>
      </w:r>
      <w:r>
        <w:rPr>
          <w:spacing w:val="40"/>
          <w:sz w:val="22"/>
        </w:rPr>
        <w:t> </w:t>
      </w:r>
      <w:r>
        <w:rPr>
          <w:sz w:val="22"/>
        </w:rPr>
        <w:t>well</w:t>
      </w:r>
      <w:r>
        <w:rPr>
          <w:spacing w:val="40"/>
          <w:sz w:val="22"/>
        </w:rPr>
        <w:t> </w:t>
      </w:r>
      <w:r>
        <w:rPr>
          <w:sz w:val="22"/>
        </w:rPr>
        <w:t>as</w:t>
      </w:r>
      <w:r>
        <w:rPr>
          <w:spacing w:val="40"/>
          <w:sz w:val="22"/>
        </w:rPr>
        <w:t> </w:t>
      </w:r>
      <w:r>
        <w:rPr>
          <w:sz w:val="22"/>
        </w:rPr>
        <w:t>the</w:t>
      </w:r>
      <w:r>
        <w:rPr>
          <w:spacing w:val="40"/>
          <w:sz w:val="22"/>
        </w:rPr>
        <w:t> </w:t>
      </w:r>
      <w:r>
        <w:rPr>
          <w:sz w:val="22"/>
        </w:rPr>
        <w:t>flight</w:t>
      </w:r>
      <w:r>
        <w:rPr>
          <w:spacing w:val="40"/>
          <w:sz w:val="22"/>
        </w:rPr>
        <w:t> </w:t>
      </w:r>
      <w:r>
        <w:rPr>
          <w:sz w:val="22"/>
        </w:rPr>
        <w:t>of</w:t>
      </w:r>
      <w:r>
        <w:rPr>
          <w:spacing w:val="40"/>
          <w:sz w:val="22"/>
        </w:rPr>
        <w:t> </w:t>
      </w:r>
      <w:r>
        <w:rPr>
          <w:sz w:val="22"/>
        </w:rPr>
        <w:t>hundreds</w:t>
      </w:r>
      <w:r>
        <w:rPr>
          <w:spacing w:val="40"/>
          <w:sz w:val="22"/>
        </w:rPr>
        <w:t> </w:t>
      </w:r>
      <w:r>
        <w:rPr>
          <w:sz w:val="22"/>
        </w:rPr>
        <w:t>of</w:t>
      </w:r>
      <w:r>
        <w:rPr>
          <w:spacing w:val="40"/>
          <w:sz w:val="22"/>
        </w:rPr>
        <w:t> </w:t>
      </w:r>
      <w:r>
        <w:rPr>
          <w:sz w:val="22"/>
        </w:rPr>
        <w:t>thousands</w:t>
      </w:r>
      <w:r>
        <w:rPr>
          <w:spacing w:val="40"/>
          <w:sz w:val="22"/>
        </w:rPr>
        <w:t> </w:t>
      </w:r>
      <w:r>
        <w:rPr>
          <w:sz w:val="22"/>
        </w:rPr>
        <w:t>of</w:t>
      </w:r>
      <w:r>
        <w:rPr>
          <w:spacing w:val="40"/>
          <w:sz w:val="22"/>
        </w:rPr>
        <w:t> </w:t>
      </w:r>
      <w:r>
        <w:rPr>
          <w:sz w:val="22"/>
        </w:rPr>
        <w:t>Sierra</w:t>
      </w:r>
      <w:r>
        <w:rPr>
          <w:spacing w:val="40"/>
          <w:sz w:val="22"/>
        </w:rPr>
        <w:t> </w:t>
      </w:r>
      <w:r>
        <w:rPr>
          <w:sz w:val="22"/>
        </w:rPr>
        <w:t>Leoneans into neighbouring countries as refugees;</w:t>
      </w:r>
    </w:p>
    <w:p>
      <w:pPr>
        <w:pStyle w:val="BodyText"/>
        <w:spacing w:before="4"/>
      </w:pPr>
    </w:p>
    <w:p>
      <w:pPr>
        <w:pStyle w:val="ListParagraph"/>
        <w:numPr>
          <w:ilvl w:val="0"/>
          <w:numId w:val="1"/>
        </w:numPr>
        <w:tabs>
          <w:tab w:pos="1928" w:val="left" w:leader="none"/>
        </w:tabs>
        <w:spacing w:line="244" w:lineRule="auto" w:before="0" w:after="0"/>
        <w:ind w:left="1927" w:right="116" w:hanging="677"/>
        <w:jc w:val="both"/>
        <w:rPr>
          <w:sz w:val="22"/>
        </w:rPr>
      </w:pPr>
      <w:r>
        <w:rPr>
          <w:b/>
          <w:sz w:val="22"/>
        </w:rPr>
        <w:t>TAKES NOTE </w:t>
      </w:r>
      <w:r>
        <w:rPr>
          <w:sz w:val="22"/>
        </w:rPr>
        <w:t>of the declared willingness of the Government of Sierra</w:t>
      </w:r>
      <w:r>
        <w:rPr>
          <w:spacing w:val="80"/>
          <w:sz w:val="22"/>
        </w:rPr>
        <w:t> </w:t>
      </w:r>
      <w:r>
        <w:rPr>
          <w:sz w:val="22"/>
        </w:rPr>
        <w:t>Leone</w:t>
      </w:r>
      <w:r>
        <w:rPr>
          <w:spacing w:val="27"/>
          <w:sz w:val="22"/>
        </w:rPr>
        <w:t> </w:t>
      </w:r>
      <w:r>
        <w:rPr>
          <w:sz w:val="22"/>
        </w:rPr>
        <w:t>to</w:t>
      </w:r>
      <w:r>
        <w:rPr>
          <w:spacing w:val="29"/>
          <w:sz w:val="22"/>
        </w:rPr>
        <w:t> </w:t>
      </w:r>
      <w:r>
        <w:rPr>
          <w:sz w:val="22"/>
        </w:rPr>
        <w:t>pursue</w:t>
      </w:r>
      <w:r>
        <w:rPr>
          <w:spacing w:val="27"/>
          <w:sz w:val="22"/>
        </w:rPr>
        <w:t> </w:t>
      </w:r>
      <w:r>
        <w:rPr>
          <w:sz w:val="22"/>
        </w:rPr>
        <w:t>a</w:t>
      </w:r>
      <w:r>
        <w:rPr>
          <w:spacing w:val="27"/>
          <w:sz w:val="22"/>
        </w:rPr>
        <w:t> </w:t>
      </w:r>
      <w:r>
        <w:rPr>
          <w:sz w:val="22"/>
        </w:rPr>
        <w:t>negotiated</w:t>
      </w:r>
      <w:r>
        <w:rPr>
          <w:spacing w:val="29"/>
          <w:sz w:val="22"/>
        </w:rPr>
        <w:t> </w:t>
      </w:r>
      <w:r>
        <w:rPr>
          <w:sz w:val="22"/>
        </w:rPr>
        <w:t>settlement</w:t>
      </w:r>
      <w:r>
        <w:rPr>
          <w:spacing w:val="27"/>
          <w:sz w:val="22"/>
        </w:rPr>
        <w:t> </w:t>
      </w:r>
      <w:r>
        <w:rPr>
          <w:sz w:val="22"/>
        </w:rPr>
        <w:t>of</w:t>
      </w:r>
      <w:r>
        <w:rPr>
          <w:spacing w:val="27"/>
          <w:sz w:val="22"/>
        </w:rPr>
        <w:t> </w:t>
      </w:r>
      <w:r>
        <w:rPr>
          <w:sz w:val="22"/>
        </w:rPr>
        <w:t>the</w:t>
      </w:r>
      <w:r>
        <w:rPr>
          <w:spacing w:val="27"/>
          <w:sz w:val="22"/>
        </w:rPr>
        <w:t> </w:t>
      </w:r>
      <w:r>
        <w:rPr>
          <w:sz w:val="22"/>
        </w:rPr>
        <w:t>conflict</w:t>
      </w:r>
      <w:r>
        <w:rPr>
          <w:spacing w:val="27"/>
          <w:sz w:val="22"/>
        </w:rPr>
        <w:t> </w:t>
      </w:r>
      <w:r>
        <w:rPr>
          <w:sz w:val="22"/>
        </w:rPr>
        <w:t>and</w:t>
      </w:r>
      <w:r>
        <w:rPr>
          <w:spacing w:val="29"/>
          <w:sz w:val="22"/>
        </w:rPr>
        <w:t> </w:t>
      </w:r>
      <w:r>
        <w:rPr>
          <w:sz w:val="22"/>
        </w:rPr>
        <w:t>also</w:t>
      </w:r>
      <w:r>
        <w:rPr>
          <w:spacing w:val="40"/>
          <w:sz w:val="22"/>
        </w:rPr>
        <w:t> </w:t>
      </w:r>
      <w:r>
        <w:rPr>
          <w:b/>
          <w:sz w:val="22"/>
        </w:rPr>
        <w:t>APPEALS </w:t>
      </w:r>
      <w:r>
        <w:rPr>
          <w:sz w:val="22"/>
        </w:rPr>
        <w:t>to the Revolutionary United Front to respond positively to the offer;</w:t>
      </w:r>
    </w:p>
    <w:p>
      <w:pPr>
        <w:pStyle w:val="BodyText"/>
        <w:spacing w:before="9"/>
      </w:pPr>
    </w:p>
    <w:p>
      <w:pPr>
        <w:pStyle w:val="BodyText"/>
        <w:spacing w:line="244" w:lineRule="auto" w:before="1"/>
        <w:ind w:left="1928" w:right="132" w:hanging="677"/>
        <w:jc w:val="both"/>
      </w:pPr>
      <w:r>
        <w:rPr/>
        <w:t>**3.</w:t>
      </w:r>
      <w:r>
        <w:rPr>
          <w:spacing w:val="80"/>
        </w:rPr>
        <w:t> </w:t>
      </w:r>
      <w:r>
        <w:rPr>
          <w:b/>
        </w:rPr>
        <w:t>CALLS ON </w:t>
      </w:r>
      <w:r>
        <w:rPr/>
        <w:t>all parties to declare an immediate cessation of hostilities, and welcomes the release of a number of hostages by the Revolutionary United Front, while URGING them to release the rest;</w:t>
      </w:r>
    </w:p>
    <w:p>
      <w:pPr>
        <w:pStyle w:val="BodyText"/>
        <w:spacing w:before="9"/>
      </w:pPr>
    </w:p>
    <w:p>
      <w:pPr>
        <w:pStyle w:val="ListParagraph"/>
        <w:numPr>
          <w:ilvl w:val="0"/>
          <w:numId w:val="2"/>
        </w:numPr>
        <w:tabs>
          <w:tab w:pos="1928" w:val="left" w:leader="none"/>
        </w:tabs>
        <w:spacing w:line="244" w:lineRule="auto" w:before="0" w:after="0"/>
        <w:ind w:left="1928" w:right="121" w:hanging="677"/>
        <w:jc w:val="both"/>
        <w:rPr>
          <w:sz w:val="22"/>
        </w:rPr>
      </w:pPr>
      <w:r>
        <w:rPr>
          <w:b/>
          <w:sz w:val="22"/>
        </w:rPr>
        <w:t>APPEALS</w:t>
      </w:r>
      <w:r>
        <w:rPr>
          <w:b/>
          <w:spacing w:val="40"/>
          <w:sz w:val="22"/>
        </w:rPr>
        <w:t> </w:t>
      </w:r>
      <w:r>
        <w:rPr>
          <w:sz w:val="22"/>
        </w:rPr>
        <w:t>to</w:t>
      </w:r>
      <w:r>
        <w:rPr>
          <w:spacing w:val="40"/>
          <w:sz w:val="22"/>
        </w:rPr>
        <w:t> </w:t>
      </w:r>
      <w:r>
        <w:rPr>
          <w:sz w:val="22"/>
        </w:rPr>
        <w:t>Member</w:t>
      </w:r>
      <w:r>
        <w:rPr>
          <w:spacing w:val="40"/>
          <w:sz w:val="22"/>
        </w:rPr>
        <w:t> </w:t>
      </w:r>
      <w:r>
        <w:rPr>
          <w:sz w:val="22"/>
        </w:rPr>
        <w:t>States</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and</w:t>
      </w:r>
      <w:r>
        <w:rPr>
          <w:spacing w:val="40"/>
          <w:sz w:val="22"/>
        </w:rPr>
        <w:t> </w:t>
      </w:r>
      <w:r>
        <w:rPr>
          <w:sz w:val="22"/>
        </w:rPr>
        <w:t>to</w:t>
      </w:r>
      <w:r>
        <w:rPr>
          <w:spacing w:val="40"/>
          <w:sz w:val="22"/>
        </w:rPr>
        <w:t> </w:t>
      </w:r>
      <w:r>
        <w:rPr>
          <w:sz w:val="22"/>
        </w:rPr>
        <w:t>the</w:t>
      </w:r>
      <w:r>
        <w:rPr>
          <w:spacing w:val="40"/>
          <w:sz w:val="22"/>
        </w:rPr>
        <w:t> </w:t>
      </w:r>
      <w:r>
        <w:rPr>
          <w:sz w:val="22"/>
        </w:rPr>
        <w:t>International Community to extend humanitarian assistance to the increasing number of Sierra Leoneans who have been internally displaced as well as to those who have had flee to neighbouring countries, especially Guinea;</w:t>
      </w:r>
    </w:p>
    <w:p>
      <w:pPr>
        <w:pStyle w:val="BodyText"/>
        <w:rPr>
          <w:sz w:val="23"/>
        </w:rPr>
      </w:pPr>
    </w:p>
    <w:p>
      <w:pPr>
        <w:pStyle w:val="ListParagraph"/>
        <w:numPr>
          <w:ilvl w:val="0"/>
          <w:numId w:val="2"/>
        </w:numPr>
        <w:tabs>
          <w:tab w:pos="1928" w:val="left" w:leader="none"/>
        </w:tabs>
        <w:spacing w:line="244" w:lineRule="auto" w:before="0" w:after="0"/>
        <w:ind w:left="1928" w:right="126" w:hanging="677"/>
        <w:jc w:val="both"/>
        <w:rPr>
          <w:sz w:val="22"/>
        </w:rPr>
      </w:pPr>
      <w:r>
        <w:rPr>
          <w:b/>
          <w:sz w:val="22"/>
        </w:rPr>
        <w:t>REQUESTS</w:t>
      </w:r>
      <w:r>
        <w:rPr>
          <w:b/>
          <w:spacing w:val="40"/>
          <w:sz w:val="22"/>
        </w:rPr>
        <w:t> </w:t>
      </w:r>
      <w:r>
        <w:rPr>
          <w:sz w:val="22"/>
        </w:rPr>
        <w:t>the</w:t>
      </w:r>
      <w:r>
        <w:rPr>
          <w:spacing w:val="40"/>
          <w:sz w:val="22"/>
        </w:rPr>
        <w:t> </w:t>
      </w:r>
      <w:r>
        <w:rPr>
          <w:sz w:val="22"/>
        </w:rPr>
        <w:t>Secretary-General</w:t>
      </w:r>
      <w:r>
        <w:rPr>
          <w:spacing w:val="40"/>
          <w:sz w:val="22"/>
        </w:rPr>
        <w:t> </w:t>
      </w:r>
      <w:r>
        <w:rPr>
          <w:sz w:val="22"/>
        </w:rPr>
        <w:t>to</w:t>
      </w:r>
      <w:r>
        <w:rPr>
          <w:spacing w:val="40"/>
          <w:sz w:val="22"/>
        </w:rPr>
        <w:t> </w:t>
      </w:r>
      <w:r>
        <w:rPr>
          <w:sz w:val="22"/>
        </w:rPr>
        <w:t>do</w:t>
      </w:r>
      <w:r>
        <w:rPr>
          <w:spacing w:val="40"/>
          <w:sz w:val="22"/>
        </w:rPr>
        <w:t> </w:t>
      </w:r>
      <w:r>
        <w:rPr>
          <w:sz w:val="22"/>
        </w:rPr>
        <w:t>all</w:t>
      </w:r>
      <w:r>
        <w:rPr>
          <w:spacing w:val="40"/>
          <w:sz w:val="22"/>
        </w:rPr>
        <w:t> </w:t>
      </w:r>
      <w:r>
        <w:rPr>
          <w:sz w:val="22"/>
        </w:rPr>
        <w:t>within</w:t>
      </w:r>
      <w:r>
        <w:rPr>
          <w:spacing w:val="40"/>
          <w:sz w:val="22"/>
        </w:rPr>
        <w:t> </w:t>
      </w:r>
      <w:r>
        <w:rPr>
          <w:sz w:val="22"/>
        </w:rPr>
        <w:t>his</w:t>
      </w:r>
      <w:r>
        <w:rPr>
          <w:spacing w:val="40"/>
          <w:sz w:val="22"/>
        </w:rPr>
        <w:t> </w:t>
      </w:r>
      <w:r>
        <w:rPr>
          <w:sz w:val="22"/>
        </w:rPr>
        <w:t>power</w:t>
      </w:r>
      <w:r>
        <w:rPr>
          <w:spacing w:val="40"/>
          <w:sz w:val="22"/>
        </w:rPr>
        <w:t> </w:t>
      </w:r>
      <w:r>
        <w:rPr>
          <w:sz w:val="22"/>
        </w:rPr>
        <w:t>to</w:t>
      </w:r>
      <w:r>
        <w:rPr>
          <w:spacing w:val="40"/>
          <w:sz w:val="22"/>
        </w:rPr>
        <w:t> </w:t>
      </w:r>
      <w:r>
        <w:rPr>
          <w:sz w:val="22"/>
        </w:rPr>
        <w:t>establish and maintain contacts with all the concerned parties, in order to assist the people of Sierra Leone in initiating, as soon as possible, a process of national reconciliation aimed at restoring peace and stability in the country.</w:t>
      </w:r>
    </w:p>
    <w:p>
      <w:pPr>
        <w:pStyle w:val="BodyText"/>
        <w:rPr>
          <w:sz w:val="24"/>
        </w:rPr>
      </w:pPr>
    </w:p>
    <w:p>
      <w:pPr>
        <w:pStyle w:val="BodyText"/>
        <w:spacing w:before="5"/>
        <w:rPr>
          <w:sz w:val="21"/>
        </w:rPr>
      </w:pPr>
    </w:p>
    <w:p>
      <w:pPr>
        <w:pStyle w:val="BodyText"/>
        <w:tabs>
          <w:tab w:pos="1251" w:val="left" w:leader="none"/>
        </w:tabs>
        <w:ind w:left="574"/>
      </w:pPr>
      <w:r>
        <w:rPr>
          <w:spacing w:val="-5"/>
        </w:rPr>
        <w:t>**</w:t>
      </w:r>
      <w:r>
        <w:rPr/>
        <w:tab/>
        <w:t>Reservation</w:t>
      </w:r>
      <w:r>
        <w:rPr>
          <w:spacing w:val="5"/>
        </w:rPr>
        <w:t> </w:t>
      </w:r>
      <w:r>
        <w:rPr/>
        <w:t>by</w:t>
      </w:r>
      <w:r>
        <w:rPr>
          <w:spacing w:val="5"/>
        </w:rPr>
        <w:t> </w:t>
      </w:r>
      <w:r>
        <w:rPr/>
        <w:t>Sierra</w:t>
      </w:r>
      <w:r>
        <w:rPr>
          <w:spacing w:val="5"/>
        </w:rPr>
        <w:t> </w:t>
      </w:r>
      <w:r>
        <w:rPr/>
        <w:t>Leone</w:t>
      </w:r>
      <w:r>
        <w:rPr>
          <w:spacing w:val="6"/>
        </w:rPr>
        <w:t> </w:t>
      </w:r>
      <w:r>
        <w:rPr/>
        <w:t>on</w:t>
      </w:r>
      <w:r>
        <w:rPr>
          <w:spacing w:val="5"/>
        </w:rPr>
        <w:t> </w:t>
      </w:r>
      <w:r>
        <w:rPr/>
        <w:t>paragraph</w:t>
      </w:r>
      <w:r>
        <w:rPr>
          <w:spacing w:val="5"/>
        </w:rPr>
        <w:t> </w:t>
      </w:r>
      <w:r>
        <w:rPr>
          <w:spacing w:val="-5"/>
        </w:rPr>
        <w:t>3.</w:t>
      </w:r>
    </w:p>
    <w:sectPr>
      <w:type w:val="continuous"/>
      <w:pgSz w:w="12240" w:h="15840"/>
      <w:pgMar w:top="1300" w:bottom="280" w:left="172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92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632" w:hanging="677"/>
      </w:pPr>
      <w:rPr>
        <w:rFonts w:hint="default"/>
        <w:lang w:val="en-US" w:eastAsia="en-US" w:bidi="ar-SA"/>
      </w:rPr>
    </w:lvl>
    <w:lvl w:ilvl="2">
      <w:start w:val="0"/>
      <w:numFmt w:val="bullet"/>
      <w:lvlText w:val="•"/>
      <w:lvlJc w:val="left"/>
      <w:pPr>
        <w:ind w:left="3344" w:hanging="677"/>
      </w:pPr>
      <w:rPr>
        <w:rFonts w:hint="default"/>
        <w:lang w:val="en-US" w:eastAsia="en-US" w:bidi="ar-SA"/>
      </w:rPr>
    </w:lvl>
    <w:lvl w:ilvl="3">
      <w:start w:val="0"/>
      <w:numFmt w:val="bullet"/>
      <w:lvlText w:val="•"/>
      <w:lvlJc w:val="left"/>
      <w:pPr>
        <w:ind w:left="4056" w:hanging="677"/>
      </w:pPr>
      <w:rPr>
        <w:rFonts w:hint="default"/>
        <w:lang w:val="en-US" w:eastAsia="en-US" w:bidi="ar-SA"/>
      </w:rPr>
    </w:lvl>
    <w:lvl w:ilvl="4">
      <w:start w:val="0"/>
      <w:numFmt w:val="bullet"/>
      <w:lvlText w:val="•"/>
      <w:lvlJc w:val="left"/>
      <w:pPr>
        <w:ind w:left="4768" w:hanging="677"/>
      </w:pPr>
      <w:rPr>
        <w:rFonts w:hint="default"/>
        <w:lang w:val="en-US" w:eastAsia="en-US" w:bidi="ar-SA"/>
      </w:rPr>
    </w:lvl>
    <w:lvl w:ilvl="5">
      <w:start w:val="0"/>
      <w:numFmt w:val="bullet"/>
      <w:lvlText w:val="•"/>
      <w:lvlJc w:val="left"/>
      <w:pPr>
        <w:ind w:left="5480" w:hanging="677"/>
      </w:pPr>
      <w:rPr>
        <w:rFonts w:hint="default"/>
        <w:lang w:val="en-US" w:eastAsia="en-US" w:bidi="ar-SA"/>
      </w:rPr>
    </w:lvl>
    <w:lvl w:ilvl="6">
      <w:start w:val="0"/>
      <w:numFmt w:val="bullet"/>
      <w:lvlText w:val="•"/>
      <w:lvlJc w:val="left"/>
      <w:pPr>
        <w:ind w:left="6192" w:hanging="677"/>
      </w:pPr>
      <w:rPr>
        <w:rFonts w:hint="default"/>
        <w:lang w:val="en-US" w:eastAsia="en-US" w:bidi="ar-SA"/>
      </w:rPr>
    </w:lvl>
    <w:lvl w:ilvl="7">
      <w:start w:val="0"/>
      <w:numFmt w:val="bullet"/>
      <w:lvlText w:val="•"/>
      <w:lvlJc w:val="left"/>
      <w:pPr>
        <w:ind w:left="6904" w:hanging="677"/>
      </w:pPr>
      <w:rPr>
        <w:rFonts w:hint="default"/>
        <w:lang w:val="en-US" w:eastAsia="en-US" w:bidi="ar-SA"/>
      </w:rPr>
    </w:lvl>
    <w:lvl w:ilvl="8">
      <w:start w:val="0"/>
      <w:numFmt w:val="bullet"/>
      <w:lvlText w:val="•"/>
      <w:lvlJc w:val="left"/>
      <w:pPr>
        <w:ind w:left="7616" w:hanging="677"/>
      </w:pPr>
      <w:rPr>
        <w:rFonts w:hint="default"/>
        <w:lang w:val="en-US" w:eastAsia="en-US" w:bidi="ar-SA"/>
      </w:rPr>
    </w:lvl>
  </w:abstractNum>
  <w:abstractNum w:abstractNumId="0">
    <w:multiLevelType w:val="hybridMultilevel"/>
    <w:lvl w:ilvl="0">
      <w:start w:val="1"/>
      <w:numFmt w:val="decimal"/>
      <w:lvlText w:val="%1."/>
      <w:lvlJc w:val="left"/>
      <w:pPr>
        <w:ind w:left="1928"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632" w:hanging="677"/>
      </w:pPr>
      <w:rPr>
        <w:rFonts w:hint="default"/>
        <w:lang w:val="en-US" w:eastAsia="en-US" w:bidi="ar-SA"/>
      </w:rPr>
    </w:lvl>
    <w:lvl w:ilvl="2">
      <w:start w:val="0"/>
      <w:numFmt w:val="bullet"/>
      <w:lvlText w:val="•"/>
      <w:lvlJc w:val="left"/>
      <w:pPr>
        <w:ind w:left="3344" w:hanging="677"/>
      </w:pPr>
      <w:rPr>
        <w:rFonts w:hint="default"/>
        <w:lang w:val="en-US" w:eastAsia="en-US" w:bidi="ar-SA"/>
      </w:rPr>
    </w:lvl>
    <w:lvl w:ilvl="3">
      <w:start w:val="0"/>
      <w:numFmt w:val="bullet"/>
      <w:lvlText w:val="•"/>
      <w:lvlJc w:val="left"/>
      <w:pPr>
        <w:ind w:left="4056" w:hanging="677"/>
      </w:pPr>
      <w:rPr>
        <w:rFonts w:hint="default"/>
        <w:lang w:val="en-US" w:eastAsia="en-US" w:bidi="ar-SA"/>
      </w:rPr>
    </w:lvl>
    <w:lvl w:ilvl="4">
      <w:start w:val="0"/>
      <w:numFmt w:val="bullet"/>
      <w:lvlText w:val="•"/>
      <w:lvlJc w:val="left"/>
      <w:pPr>
        <w:ind w:left="4768" w:hanging="677"/>
      </w:pPr>
      <w:rPr>
        <w:rFonts w:hint="default"/>
        <w:lang w:val="en-US" w:eastAsia="en-US" w:bidi="ar-SA"/>
      </w:rPr>
    </w:lvl>
    <w:lvl w:ilvl="5">
      <w:start w:val="0"/>
      <w:numFmt w:val="bullet"/>
      <w:lvlText w:val="•"/>
      <w:lvlJc w:val="left"/>
      <w:pPr>
        <w:ind w:left="5480" w:hanging="677"/>
      </w:pPr>
      <w:rPr>
        <w:rFonts w:hint="default"/>
        <w:lang w:val="en-US" w:eastAsia="en-US" w:bidi="ar-SA"/>
      </w:rPr>
    </w:lvl>
    <w:lvl w:ilvl="6">
      <w:start w:val="0"/>
      <w:numFmt w:val="bullet"/>
      <w:lvlText w:val="•"/>
      <w:lvlJc w:val="left"/>
      <w:pPr>
        <w:ind w:left="6192" w:hanging="677"/>
      </w:pPr>
      <w:rPr>
        <w:rFonts w:hint="default"/>
        <w:lang w:val="en-US" w:eastAsia="en-US" w:bidi="ar-SA"/>
      </w:rPr>
    </w:lvl>
    <w:lvl w:ilvl="7">
      <w:start w:val="0"/>
      <w:numFmt w:val="bullet"/>
      <w:lvlText w:val="•"/>
      <w:lvlJc w:val="left"/>
      <w:pPr>
        <w:ind w:left="6904" w:hanging="677"/>
      </w:pPr>
      <w:rPr>
        <w:rFonts w:hint="default"/>
        <w:lang w:val="en-US" w:eastAsia="en-US" w:bidi="ar-SA"/>
      </w:rPr>
    </w:lvl>
    <w:lvl w:ilvl="8">
      <w:start w:val="0"/>
      <w:numFmt w:val="bullet"/>
      <w:lvlText w:val="•"/>
      <w:lvlJc w:val="left"/>
      <w:pPr>
        <w:ind w:left="7616" w:hanging="677"/>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61" w:right="1412"/>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928" w:right="116"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SIXTY-SECOND ORDINARY SESSION OF THE COUNCIL OF MINISTERS</dc:title>
  <dcterms:created xsi:type="dcterms:W3CDTF">2023-04-12T07:09:06Z</dcterms:created>
  <dcterms:modified xsi:type="dcterms:W3CDTF">2023-04-12T07:09:06Z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