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jc w:val="left"/>
      </w:pPr>
      <w:r>
        <w:rPr/>
        <w:t>CM/Res.1625</w:t>
      </w:r>
      <w:r>
        <w:rPr>
          <w:spacing w:val="32"/>
        </w:rPr>
        <w:t> </w:t>
      </w:r>
      <w:r>
        <w:rPr>
          <w:spacing w:val="-2"/>
        </w:rPr>
        <w:t>(LXIII)</w:t>
      </w:r>
    </w:p>
    <w:p>
      <w:pPr>
        <w:pStyle w:val="BodyText"/>
        <w:spacing w:before="0"/>
        <w:ind w:left="0"/>
        <w:jc w:val="left"/>
        <w:rPr>
          <w:sz w:val="24"/>
        </w:rPr>
      </w:pPr>
    </w:p>
    <w:p>
      <w:pPr>
        <w:pStyle w:val="Title"/>
      </w:pPr>
      <w:r>
        <w:rPr/>
        <w:t>RESOLUTION</w:t>
      </w:r>
      <w:r>
        <w:rPr>
          <w:spacing w:val="9"/>
        </w:rPr>
        <w:t> </w:t>
      </w:r>
      <w:r>
        <w:rPr/>
        <w:t>ON</w:t>
      </w:r>
      <w:r>
        <w:rPr>
          <w:spacing w:val="10"/>
        </w:rPr>
        <w:t> </w:t>
      </w:r>
      <w:r>
        <w:rPr/>
        <w:t>THE</w:t>
      </w:r>
      <w:r>
        <w:rPr>
          <w:spacing w:val="9"/>
        </w:rPr>
        <w:t> </w:t>
      </w:r>
      <w:r>
        <w:rPr/>
        <w:t>SITUATION</w:t>
      </w:r>
      <w:r>
        <w:rPr>
          <w:spacing w:val="11"/>
        </w:rPr>
        <w:t> </w:t>
      </w:r>
      <w:r>
        <w:rPr/>
        <w:t>IN</w:t>
      </w:r>
      <w:r>
        <w:rPr>
          <w:spacing w:val="10"/>
        </w:rPr>
        <w:t> </w:t>
      </w:r>
      <w:r>
        <w:rPr/>
        <w:t>THE</w:t>
      </w:r>
      <w:r>
        <w:rPr>
          <w:spacing w:val="11"/>
        </w:rPr>
        <w:t> </w:t>
      </w:r>
      <w:r>
        <w:rPr/>
        <w:t>MIDDLE</w:t>
      </w:r>
      <w:r>
        <w:rPr>
          <w:spacing w:val="11"/>
        </w:rPr>
        <w:t> </w:t>
      </w:r>
      <w:r>
        <w:rPr>
          <w:spacing w:val="-4"/>
        </w:rPr>
        <w:t>EAST</w:t>
      </w:r>
    </w:p>
    <w:p>
      <w:pPr>
        <w:pStyle w:val="BodyText"/>
        <w:spacing w:before="5"/>
        <w:ind w:left="0"/>
        <w:jc w:val="left"/>
        <w:rPr>
          <w:b/>
          <w:sz w:val="21"/>
        </w:rPr>
      </w:pPr>
    </w:p>
    <w:p>
      <w:pPr>
        <w:pStyle w:val="BodyText"/>
        <w:spacing w:line="369" w:lineRule="auto" w:before="0"/>
        <w:jc w:val="left"/>
      </w:pPr>
      <w:r>
        <w:rPr/>
        <w:t>The</w:t>
      </w:r>
      <w:r>
        <w:rPr>
          <w:spacing w:val="29"/>
        </w:rPr>
        <w:t> </w:t>
      </w:r>
      <w:r>
        <w:rPr/>
        <w:t>Council</w:t>
      </w:r>
      <w:r>
        <w:rPr>
          <w:spacing w:val="29"/>
        </w:rPr>
        <w:t> </w:t>
      </w:r>
      <w:r>
        <w:rPr/>
        <w:t>of</w:t>
      </w:r>
      <w:r>
        <w:rPr>
          <w:spacing w:val="29"/>
        </w:rPr>
        <w:t> </w:t>
      </w:r>
      <w:r>
        <w:rPr/>
        <w:t>Ministers</w:t>
      </w:r>
      <w:r>
        <w:rPr>
          <w:spacing w:val="29"/>
        </w:rPr>
        <w:t> </w:t>
      </w:r>
      <w:r>
        <w:rPr/>
        <w:t>of</w:t>
      </w:r>
      <w:r>
        <w:rPr>
          <w:spacing w:val="29"/>
        </w:rPr>
        <w:t> </w:t>
      </w:r>
      <w:r>
        <w:rPr/>
        <w:t>the</w:t>
      </w:r>
      <w:r>
        <w:rPr>
          <w:spacing w:val="29"/>
        </w:rPr>
        <w:t> </w:t>
      </w:r>
      <w:r>
        <w:rPr/>
        <w:t>Organization</w:t>
      </w:r>
      <w:r>
        <w:rPr>
          <w:spacing w:val="29"/>
        </w:rPr>
        <w:t> </w:t>
      </w:r>
      <w:r>
        <w:rPr/>
        <w:t>of</w:t>
      </w:r>
      <w:r>
        <w:rPr>
          <w:spacing w:val="29"/>
        </w:rPr>
        <w:t> </w:t>
      </w:r>
      <w:r>
        <w:rPr/>
        <w:t>African</w:t>
      </w:r>
      <w:r>
        <w:rPr>
          <w:spacing w:val="29"/>
        </w:rPr>
        <w:t> </w:t>
      </w:r>
      <w:r>
        <w:rPr/>
        <w:t>Unity</w:t>
      </w:r>
      <w:r>
        <w:rPr>
          <w:spacing w:val="29"/>
        </w:rPr>
        <w:t> </w:t>
      </w:r>
      <w:r>
        <w:rPr/>
        <w:t>meeting</w:t>
      </w:r>
      <w:r>
        <w:rPr>
          <w:spacing w:val="29"/>
        </w:rPr>
        <w:t> </w:t>
      </w:r>
      <w:r>
        <w:rPr/>
        <w:t>in</w:t>
      </w:r>
      <w:r>
        <w:rPr>
          <w:spacing w:val="29"/>
        </w:rPr>
        <w:t> </w:t>
      </w:r>
      <w:r>
        <w:rPr/>
        <w:t>its</w:t>
      </w:r>
      <w:r>
        <w:rPr>
          <w:spacing w:val="29"/>
        </w:rPr>
        <w:t> </w:t>
      </w:r>
      <w:r>
        <w:rPr/>
        <w:t>Sixty-third</w:t>
      </w:r>
      <w:r>
        <w:rPr>
          <w:spacing w:val="29"/>
        </w:rPr>
        <w:t> </w:t>
      </w:r>
      <w:r>
        <w:rPr/>
        <w:t>ordinary Session in-Addis Ababa, Ethiopia from 26</w:t>
      </w:r>
      <w:r>
        <w:rPr>
          <w:spacing w:val="40"/>
        </w:rPr>
        <w:t> </w:t>
      </w:r>
      <w:r>
        <w:rPr/>
        <w:t>- 28 February 1996,</w:t>
      </w:r>
    </w:p>
    <w:p>
      <w:pPr>
        <w:pStyle w:val="BodyText"/>
        <w:spacing w:line="369" w:lineRule="auto" w:before="109"/>
        <w:jc w:val="left"/>
      </w:pPr>
      <w:r>
        <w:rPr/>
        <w:t>Having considered the Secretary-General's report an the situation in the</w:t>
      </w:r>
      <w:r>
        <w:rPr>
          <w:spacing w:val="31"/>
        </w:rPr>
        <w:t> </w:t>
      </w:r>
      <w:r>
        <w:rPr/>
        <w:t>Middle East as contained in Document CM/1917 (LXIII).,</w:t>
      </w:r>
    </w:p>
    <w:p>
      <w:pPr>
        <w:pStyle w:val="BodyText"/>
        <w:spacing w:line="369" w:lineRule="auto"/>
        <w:ind w:right="138"/>
      </w:pPr>
      <w:r>
        <w:rPr/>
        <w:t>Guided by the principles and objectives of the UN and OAU Charters and by the common determination of the Arab and African peoples to pool their resources in order to defend their sovereignty and restore their legitimate fundamental rights,</w:t>
      </w:r>
    </w:p>
    <w:p>
      <w:pPr>
        <w:pStyle w:val="BodyText"/>
        <w:spacing w:line="364" w:lineRule="auto"/>
        <w:ind w:right="145"/>
      </w:pPr>
      <w:r>
        <w:rPr/>
        <w:t>Recalling all the relevant resolutions of the OAU Assembly of Heads of State and Government and the Council of Ministers,</w:t>
      </w:r>
    </w:p>
    <w:p>
      <w:pPr>
        <w:pStyle w:val="BodyText"/>
        <w:spacing w:line="364" w:lineRule="auto" w:before="124"/>
        <w:ind w:right="129" w:hanging="1"/>
      </w:pPr>
      <w:r>
        <w:rPr/>
        <w:t>Further</w:t>
      </w:r>
      <w:r>
        <w:rPr>
          <w:spacing w:val="30"/>
        </w:rPr>
        <w:t> </w:t>
      </w:r>
      <w:r>
        <w:rPr/>
        <w:t>recalling that the Palestinian Question is at the core of Arab/Israeli conflict in</w:t>
      </w:r>
      <w:r>
        <w:rPr>
          <w:spacing w:val="39"/>
        </w:rPr>
        <w:t> </w:t>
      </w:r>
      <w:r>
        <w:rPr/>
        <w:t>the Middle</w:t>
      </w:r>
      <w:r>
        <w:rPr>
          <w:spacing w:val="40"/>
        </w:rPr>
        <w:t> </w:t>
      </w:r>
      <w:r>
        <w:rPr/>
        <w:t>East and that the issue of East Jerusalem is the core cause of the Palestinian Question:</w:t>
      </w:r>
    </w:p>
    <w:p>
      <w:pPr>
        <w:pStyle w:val="ListParagraph"/>
        <w:numPr>
          <w:ilvl w:val="0"/>
          <w:numId w:val="1"/>
        </w:numPr>
        <w:tabs>
          <w:tab w:pos="661" w:val="left" w:leader="none"/>
        </w:tabs>
        <w:spacing w:line="367" w:lineRule="auto" w:before="124" w:after="0"/>
        <w:ind w:left="117" w:right="119" w:firstLine="0"/>
        <w:jc w:val="both"/>
        <w:rPr>
          <w:sz w:val="22"/>
        </w:rPr>
      </w:pPr>
      <w:r>
        <w:rPr>
          <w:sz w:val="22"/>
        </w:rPr>
        <w:t>WELCOMES the positive developments that have taken place in the Middle East and EXPRESSES ITS FULL SUPPORT for the efforts being deployed at various levels to find a comprehensive and just solution for the Palestinian Question and the Arab/Israeli conflict in accordance with Resolutions 242, 338, 425 and 478 of the UN Security Council and based on the principle of land for peace;</w:t>
      </w:r>
    </w:p>
    <w:p>
      <w:pPr>
        <w:pStyle w:val="ListParagraph"/>
        <w:numPr>
          <w:ilvl w:val="0"/>
          <w:numId w:val="1"/>
        </w:numPr>
        <w:tabs>
          <w:tab w:pos="548" w:val="left" w:leader="none"/>
        </w:tabs>
        <w:spacing w:line="369" w:lineRule="auto" w:before="119" w:after="0"/>
        <w:ind w:left="117" w:right="129" w:firstLine="0"/>
        <w:jc w:val="both"/>
        <w:rPr>
          <w:sz w:val="22"/>
        </w:rPr>
      </w:pPr>
      <w:r>
        <w:rPr>
          <w:sz w:val="22"/>
        </w:rPr>
        <w:t>EXPRESSES ITS FULL SUPPORT for the Arab countries in their efforts to end the Israeli occupation and find a lasting, just and comprehensive solution to the problem in the Middle East;</w:t>
      </w:r>
    </w:p>
    <w:p>
      <w:pPr>
        <w:pStyle w:val="ListParagraph"/>
        <w:numPr>
          <w:ilvl w:val="0"/>
          <w:numId w:val="1"/>
        </w:numPr>
        <w:tabs>
          <w:tab w:pos="588" w:val="left" w:leader="none"/>
        </w:tabs>
        <w:spacing w:line="369" w:lineRule="auto" w:before="113" w:after="0"/>
        <w:ind w:left="117" w:right="115" w:firstLine="0"/>
        <w:jc w:val="both"/>
        <w:rPr>
          <w:sz w:val="22"/>
        </w:rPr>
      </w:pPr>
      <w:r>
        <w:rPr>
          <w:sz w:val="22"/>
        </w:rPr>
        <w:t>REAFFIRMS that the Palestinian Question and the issue of Jerusalem are the core of the Arab/Israeli conflict and that no comprehensive, just and lasting solution could be found in the</w:t>
      </w:r>
      <w:r>
        <w:rPr>
          <w:spacing w:val="80"/>
          <w:sz w:val="22"/>
        </w:rPr>
        <w:t> </w:t>
      </w:r>
      <w:r>
        <w:rPr>
          <w:sz w:val="22"/>
        </w:rPr>
        <w:t>Middle</w:t>
      </w:r>
      <w:r>
        <w:rPr>
          <w:spacing w:val="40"/>
          <w:sz w:val="22"/>
        </w:rPr>
        <w:t> </w:t>
      </w:r>
      <w:r>
        <w:rPr>
          <w:sz w:val="22"/>
        </w:rPr>
        <w:t>East</w:t>
      </w:r>
      <w:r>
        <w:rPr>
          <w:spacing w:val="40"/>
          <w:sz w:val="22"/>
        </w:rPr>
        <w:t> </w:t>
      </w:r>
      <w:r>
        <w:rPr>
          <w:sz w:val="22"/>
        </w:rPr>
        <w:t>as</w:t>
      </w:r>
      <w:r>
        <w:rPr>
          <w:spacing w:val="40"/>
          <w:sz w:val="22"/>
        </w:rPr>
        <w:t> </w:t>
      </w:r>
      <w:r>
        <w:rPr>
          <w:sz w:val="22"/>
        </w:rPr>
        <w:t>long</w:t>
      </w:r>
      <w:r>
        <w:rPr>
          <w:spacing w:val="40"/>
          <w:sz w:val="22"/>
        </w:rPr>
        <w:t> </w:t>
      </w:r>
      <w:r>
        <w:rPr>
          <w:sz w:val="22"/>
        </w:rPr>
        <w:t>as</w:t>
      </w:r>
      <w:r>
        <w:rPr>
          <w:spacing w:val="40"/>
          <w:sz w:val="22"/>
        </w:rPr>
        <w:t> </w:t>
      </w:r>
      <w:r>
        <w:rPr>
          <w:sz w:val="22"/>
        </w:rPr>
        <w:t>Israel</w:t>
      </w:r>
      <w:r>
        <w:rPr>
          <w:spacing w:val="40"/>
          <w:sz w:val="22"/>
        </w:rPr>
        <w:t> </w:t>
      </w:r>
      <w:r>
        <w:rPr>
          <w:sz w:val="22"/>
        </w:rPr>
        <w:t>does</w:t>
      </w:r>
      <w:r>
        <w:rPr>
          <w:spacing w:val="40"/>
          <w:sz w:val="22"/>
        </w:rPr>
        <w:t> </w:t>
      </w:r>
      <w:r>
        <w:rPr>
          <w:sz w:val="22"/>
        </w:rPr>
        <w:t>not</w:t>
      </w:r>
      <w:r>
        <w:rPr>
          <w:spacing w:val="40"/>
          <w:sz w:val="22"/>
        </w:rPr>
        <w:t> </w:t>
      </w:r>
      <w:r>
        <w:rPr>
          <w:sz w:val="22"/>
        </w:rPr>
        <w:t>withdraw</w:t>
      </w:r>
      <w:r>
        <w:rPr>
          <w:spacing w:val="40"/>
          <w:sz w:val="22"/>
        </w:rPr>
        <w:t> </w:t>
      </w:r>
      <w:r>
        <w:rPr>
          <w:sz w:val="22"/>
        </w:rPr>
        <w:t>from</w:t>
      </w:r>
      <w:r>
        <w:rPr>
          <w:spacing w:val="40"/>
          <w:sz w:val="22"/>
        </w:rPr>
        <w:t> </w:t>
      </w:r>
      <w:r>
        <w:rPr>
          <w:sz w:val="22"/>
        </w:rPr>
        <w:t>all</w:t>
      </w:r>
      <w:r>
        <w:rPr>
          <w:spacing w:val="40"/>
          <w:sz w:val="22"/>
        </w:rPr>
        <w:t> </w:t>
      </w:r>
      <w:r>
        <w:rPr>
          <w:sz w:val="22"/>
        </w:rPr>
        <w:t>the</w:t>
      </w:r>
      <w:r>
        <w:rPr>
          <w:spacing w:val="40"/>
          <w:sz w:val="22"/>
        </w:rPr>
        <w:t> </w:t>
      </w:r>
      <w:r>
        <w:rPr>
          <w:sz w:val="22"/>
        </w:rPr>
        <w:t>occupied</w:t>
      </w:r>
      <w:r>
        <w:rPr>
          <w:spacing w:val="40"/>
          <w:sz w:val="22"/>
        </w:rPr>
        <w:t> </w:t>
      </w:r>
      <w:r>
        <w:rPr>
          <w:sz w:val="22"/>
        </w:rPr>
        <w:t>Palestinian</w:t>
      </w:r>
      <w:r>
        <w:rPr>
          <w:spacing w:val="40"/>
          <w:sz w:val="22"/>
        </w:rPr>
        <w:t> </w:t>
      </w:r>
      <w:r>
        <w:rPr>
          <w:sz w:val="22"/>
        </w:rPr>
        <w:t>and</w:t>
      </w:r>
      <w:r>
        <w:rPr>
          <w:spacing w:val="40"/>
          <w:sz w:val="22"/>
        </w:rPr>
        <w:t> </w:t>
      </w:r>
      <w:r>
        <w:rPr>
          <w:sz w:val="22"/>
        </w:rPr>
        <w:t>Arab territories including Jerusalem, the Golan Heights and Southern Lebanon and as long as the Palestinian people are not allowed to exercise their inalienable national rights;</w:t>
      </w:r>
    </w:p>
    <w:p>
      <w:pPr>
        <w:pStyle w:val="ListParagraph"/>
        <w:numPr>
          <w:ilvl w:val="0"/>
          <w:numId w:val="1"/>
        </w:numPr>
        <w:tabs>
          <w:tab w:pos="541" w:val="left" w:leader="none"/>
        </w:tabs>
        <w:spacing w:line="369" w:lineRule="auto" w:before="112" w:after="0"/>
        <w:ind w:left="117" w:right="135" w:firstLine="0"/>
        <w:jc w:val="both"/>
        <w:rPr>
          <w:sz w:val="22"/>
        </w:rPr>
      </w:pPr>
      <w:r>
        <w:rPr>
          <w:sz w:val="22"/>
        </w:rPr>
        <w:t>REAFFIRMS ITS SUPPORT for resolution 681 of the UN Security Council, calling for the implementation of all the provisions of the Fourth Geneva Convention of 1949 on the protection of</w:t>
      </w:r>
      <w:r>
        <w:rPr>
          <w:spacing w:val="40"/>
          <w:sz w:val="22"/>
        </w:rPr>
        <w:t> </w:t>
      </w:r>
      <w:r>
        <w:rPr>
          <w:sz w:val="22"/>
        </w:rPr>
        <w:t>the rights of the civilian population during wars in the case of the Palestinians in the occupied territories, including Jerusalem;</w:t>
      </w:r>
    </w:p>
    <w:p>
      <w:pPr>
        <w:pStyle w:val="ListParagraph"/>
        <w:numPr>
          <w:ilvl w:val="0"/>
          <w:numId w:val="1"/>
        </w:numPr>
        <w:tabs>
          <w:tab w:pos="544" w:val="left" w:leader="none"/>
        </w:tabs>
        <w:spacing w:line="240" w:lineRule="auto" w:before="112" w:after="0"/>
        <w:ind w:left="543" w:right="0" w:hanging="427"/>
        <w:jc w:val="both"/>
        <w:rPr>
          <w:sz w:val="22"/>
        </w:rPr>
      </w:pPr>
      <w:r>
        <w:rPr>
          <w:sz w:val="22"/>
        </w:rPr>
        <w:t>STRONGLY</w:t>
      </w:r>
      <w:r>
        <w:rPr>
          <w:spacing w:val="31"/>
          <w:sz w:val="22"/>
        </w:rPr>
        <w:t> </w:t>
      </w:r>
      <w:r>
        <w:rPr>
          <w:sz w:val="22"/>
        </w:rPr>
        <w:t>URGES</w:t>
      </w:r>
      <w:r>
        <w:rPr>
          <w:spacing w:val="31"/>
          <w:sz w:val="22"/>
        </w:rPr>
        <w:t> </w:t>
      </w:r>
      <w:r>
        <w:rPr>
          <w:sz w:val="22"/>
        </w:rPr>
        <w:t>the</w:t>
      </w:r>
      <w:r>
        <w:rPr>
          <w:spacing w:val="62"/>
          <w:w w:val="150"/>
          <w:sz w:val="22"/>
        </w:rPr>
        <w:t>   </w:t>
      </w:r>
      <w:r>
        <w:rPr>
          <w:sz w:val="22"/>
        </w:rPr>
        <w:t>United</w:t>
      </w:r>
      <w:r>
        <w:rPr>
          <w:spacing w:val="35"/>
          <w:sz w:val="22"/>
        </w:rPr>
        <w:t> </w:t>
      </w:r>
      <w:r>
        <w:rPr>
          <w:sz w:val="22"/>
        </w:rPr>
        <w:t>Nations</w:t>
      </w:r>
      <w:r>
        <w:rPr>
          <w:spacing w:val="62"/>
          <w:w w:val="150"/>
          <w:sz w:val="22"/>
        </w:rPr>
        <w:t>   </w:t>
      </w:r>
      <w:r>
        <w:rPr>
          <w:sz w:val="22"/>
        </w:rPr>
        <w:t>and</w:t>
      </w:r>
      <w:r>
        <w:rPr>
          <w:spacing w:val="62"/>
          <w:sz w:val="22"/>
        </w:rPr>
        <w:t>   </w:t>
      </w:r>
      <w:r>
        <w:rPr>
          <w:sz w:val="22"/>
        </w:rPr>
        <w:t>the</w:t>
      </w:r>
      <w:r>
        <w:rPr>
          <w:spacing w:val="33"/>
          <w:sz w:val="22"/>
        </w:rPr>
        <w:t> </w:t>
      </w:r>
      <w:r>
        <w:rPr>
          <w:sz w:val="22"/>
        </w:rPr>
        <w:t>International</w:t>
      </w:r>
      <w:r>
        <w:rPr>
          <w:spacing w:val="75"/>
          <w:sz w:val="22"/>
        </w:rPr>
        <w:t>  </w:t>
      </w:r>
      <w:r>
        <w:rPr>
          <w:sz w:val="22"/>
        </w:rPr>
        <w:t>Community</w:t>
      </w:r>
      <w:r>
        <w:rPr>
          <w:spacing w:val="56"/>
          <w:sz w:val="22"/>
        </w:rPr>
        <w:t>   </w:t>
      </w:r>
      <w:r>
        <w:rPr>
          <w:spacing w:val="-5"/>
          <w:sz w:val="22"/>
        </w:rPr>
        <w:t>to</w:t>
      </w:r>
    </w:p>
    <w:p>
      <w:pPr>
        <w:spacing w:after="0" w:line="240" w:lineRule="auto"/>
        <w:jc w:val="both"/>
        <w:rPr>
          <w:sz w:val="22"/>
        </w:rPr>
        <w:sectPr>
          <w:type w:val="continuous"/>
          <w:pgSz w:w="12240" w:h="15840"/>
          <w:pgMar w:top="1360" w:bottom="280" w:left="1500" w:right="1480"/>
        </w:sectPr>
      </w:pPr>
    </w:p>
    <w:p>
      <w:pPr>
        <w:pStyle w:val="BodyText"/>
        <w:tabs>
          <w:tab w:pos="6389" w:val="left" w:leader="none"/>
        </w:tabs>
        <w:spacing w:line="369" w:lineRule="auto" w:before="74"/>
        <w:ind w:right="125"/>
      </w:pPr>
      <w:r>
        <w:rPr/>
        <w:t>ensure</w:t>
      </w:r>
      <w:r>
        <w:rPr>
          <w:spacing w:val="80"/>
        </w:rPr>
        <w:t> </w:t>
      </w:r>
      <w:r>
        <w:rPr/>
        <w:t>Israel's compliance with the relevant resolutions adopted by the United Nations and the International Atomic Energy Agency concerning the use of its nuclear facilities for peaceful means and persuade it to open these for international inspection</w:t>
        <w:tab/>
        <w:t>and facilities to submit to the Security Council and the</w:t>
      </w:r>
      <w:r>
        <w:rPr>
          <w:spacing w:val="80"/>
          <w:w w:val="150"/>
        </w:rPr>
        <w:t> </w:t>
      </w:r>
      <w:r>
        <w:rPr/>
        <w:t>International</w:t>
      </w:r>
      <w:r>
        <w:rPr>
          <w:spacing w:val="80"/>
          <w:w w:val="150"/>
        </w:rPr>
        <w:t> </w:t>
      </w:r>
      <w:r>
        <w:rPr/>
        <w:t>Atomic</w:t>
      </w:r>
      <w:r>
        <w:rPr>
          <w:spacing w:val="40"/>
        </w:rPr>
        <w:t>  </w:t>
      </w:r>
      <w:r>
        <w:rPr/>
        <w:t>Energy</w:t>
      </w:r>
      <w:r>
        <w:rPr>
          <w:spacing w:val="80"/>
          <w:w w:val="150"/>
        </w:rPr>
        <w:t> </w:t>
      </w:r>
      <w:r>
        <w:rPr/>
        <w:t>Agency</w:t>
      </w:r>
      <w:r>
        <w:rPr>
          <w:spacing w:val="80"/>
        </w:rPr>
        <w:t>  </w:t>
      </w:r>
      <w:r>
        <w:rPr/>
        <w:t>a comprehensive report stockpile of nuclear weapons;</w:t>
      </w:r>
    </w:p>
    <w:p>
      <w:pPr>
        <w:pStyle w:val="ListParagraph"/>
        <w:numPr>
          <w:ilvl w:val="0"/>
          <w:numId w:val="1"/>
        </w:numPr>
        <w:tabs>
          <w:tab w:pos="610" w:val="left" w:leader="none"/>
          <w:tab w:pos="611" w:val="left" w:leader="none"/>
        </w:tabs>
        <w:spacing w:line="364" w:lineRule="auto" w:before="111" w:after="0"/>
        <w:ind w:left="117" w:right="116" w:firstLine="0"/>
        <w:jc w:val="left"/>
        <w:rPr>
          <w:sz w:val="22"/>
        </w:rPr>
      </w:pPr>
      <w:r>
        <w:rPr>
          <w:sz w:val="22"/>
        </w:rPr>
        <w:t>REAFFIRMS</w:t>
      </w:r>
      <w:r>
        <w:rPr>
          <w:spacing w:val="40"/>
          <w:sz w:val="22"/>
        </w:rPr>
        <w:t> </w:t>
      </w:r>
      <w:r>
        <w:rPr>
          <w:sz w:val="22"/>
        </w:rPr>
        <w:t>ITS</w:t>
      </w:r>
      <w:r>
        <w:rPr>
          <w:spacing w:val="40"/>
          <w:sz w:val="22"/>
        </w:rPr>
        <w:t> </w:t>
      </w:r>
      <w:r>
        <w:rPr>
          <w:sz w:val="22"/>
        </w:rPr>
        <w:t>SUPPORT</w:t>
      </w:r>
      <w:r>
        <w:rPr>
          <w:spacing w:val="40"/>
          <w:sz w:val="22"/>
        </w:rPr>
        <w:t> </w:t>
      </w:r>
      <w:r>
        <w:rPr>
          <w:sz w:val="22"/>
        </w:rPr>
        <w:t>for</w:t>
      </w:r>
      <w:r>
        <w:rPr>
          <w:spacing w:val="40"/>
          <w:sz w:val="22"/>
        </w:rPr>
        <w:t> </w:t>
      </w:r>
      <w:r>
        <w:rPr>
          <w:sz w:val="22"/>
        </w:rPr>
        <w:t>the</w:t>
      </w:r>
      <w:r>
        <w:rPr>
          <w:spacing w:val="40"/>
          <w:sz w:val="22"/>
        </w:rPr>
        <w:t> </w:t>
      </w:r>
      <w:r>
        <w:rPr>
          <w:sz w:val="22"/>
        </w:rPr>
        <w:t>proposal</w:t>
      </w:r>
      <w:r>
        <w:rPr>
          <w:spacing w:val="40"/>
          <w:sz w:val="22"/>
        </w:rPr>
        <w:t> </w:t>
      </w:r>
      <w:r>
        <w:rPr>
          <w:sz w:val="22"/>
        </w:rPr>
        <w:t>made</w:t>
      </w:r>
      <w:r>
        <w:rPr>
          <w:spacing w:val="40"/>
          <w:sz w:val="22"/>
        </w:rPr>
        <w:t> </w:t>
      </w:r>
      <w:r>
        <w:rPr>
          <w:sz w:val="22"/>
        </w:rPr>
        <w:t>by</w:t>
      </w:r>
      <w:r>
        <w:rPr>
          <w:spacing w:val="40"/>
          <w:sz w:val="22"/>
        </w:rPr>
        <w:t> </w:t>
      </w:r>
      <w:r>
        <w:rPr>
          <w:sz w:val="22"/>
        </w:rPr>
        <w:t>H.E.</w:t>
      </w:r>
      <w:r>
        <w:rPr>
          <w:spacing w:val="40"/>
          <w:sz w:val="22"/>
        </w:rPr>
        <w:t> </w:t>
      </w:r>
      <w:r>
        <w:rPr>
          <w:sz w:val="22"/>
        </w:rPr>
        <w:t>Mohamed</w:t>
      </w:r>
      <w:r>
        <w:rPr>
          <w:spacing w:val="40"/>
          <w:sz w:val="22"/>
        </w:rPr>
        <w:t> </w:t>
      </w:r>
      <w:r>
        <w:rPr>
          <w:sz w:val="22"/>
        </w:rPr>
        <w:t>Hosni</w:t>
      </w:r>
      <w:r>
        <w:rPr>
          <w:spacing w:val="40"/>
          <w:sz w:val="22"/>
        </w:rPr>
        <w:t> </w:t>
      </w:r>
      <w:r>
        <w:rPr>
          <w:sz w:val="22"/>
        </w:rPr>
        <w:t>Mubarak,</w:t>
      </w:r>
      <w:r>
        <w:rPr>
          <w:spacing w:val="80"/>
          <w:sz w:val="22"/>
        </w:rPr>
        <w:t> </w:t>
      </w:r>
      <w:r>
        <w:rPr>
          <w:sz w:val="22"/>
        </w:rPr>
        <w:t>President of the Arab</w:t>
      </w:r>
      <w:r>
        <w:rPr>
          <w:spacing w:val="22"/>
          <w:sz w:val="22"/>
        </w:rPr>
        <w:t> </w:t>
      </w:r>
      <w:r>
        <w:rPr>
          <w:sz w:val="22"/>
        </w:rPr>
        <w:t>Republic of Egypt to</w:t>
      </w:r>
      <w:r>
        <w:rPr>
          <w:spacing w:val="22"/>
          <w:sz w:val="22"/>
        </w:rPr>
        <w:t> </w:t>
      </w:r>
      <w:r>
        <w:rPr>
          <w:sz w:val="22"/>
        </w:rPr>
        <w:t>declare the Middle East a nuclear weapons free zone;</w:t>
      </w:r>
    </w:p>
    <w:p>
      <w:pPr>
        <w:pStyle w:val="ListParagraph"/>
        <w:numPr>
          <w:ilvl w:val="0"/>
          <w:numId w:val="1"/>
        </w:numPr>
        <w:tabs>
          <w:tab w:pos="480" w:val="left" w:leader="none"/>
        </w:tabs>
        <w:spacing w:line="369" w:lineRule="auto" w:before="119" w:after="0"/>
        <w:ind w:left="117" w:right="134" w:firstLine="0"/>
        <w:jc w:val="left"/>
        <w:rPr>
          <w:sz w:val="22"/>
        </w:rPr>
      </w:pPr>
      <w:r>
        <w:rPr>
          <w:sz w:val="22"/>
        </w:rPr>
        <w:t>REQUESTS</w:t>
      </w:r>
      <w:r>
        <w:rPr>
          <w:spacing w:val="16"/>
          <w:sz w:val="22"/>
        </w:rPr>
        <w:t> </w:t>
      </w:r>
      <w:r>
        <w:rPr>
          <w:sz w:val="22"/>
        </w:rPr>
        <w:t>the</w:t>
      </w:r>
      <w:r>
        <w:rPr>
          <w:spacing w:val="16"/>
          <w:sz w:val="22"/>
        </w:rPr>
        <w:t> </w:t>
      </w:r>
      <w:r>
        <w:rPr>
          <w:sz w:val="22"/>
        </w:rPr>
        <w:t>OAU</w:t>
      </w:r>
      <w:r>
        <w:rPr>
          <w:spacing w:val="16"/>
          <w:sz w:val="22"/>
        </w:rPr>
        <w:t> </w:t>
      </w:r>
      <w:r>
        <w:rPr>
          <w:sz w:val="22"/>
        </w:rPr>
        <w:t>Secretary-General to</w:t>
      </w:r>
      <w:r>
        <w:rPr>
          <w:spacing w:val="13"/>
          <w:sz w:val="22"/>
        </w:rPr>
        <w:t> </w:t>
      </w:r>
      <w:r>
        <w:rPr>
          <w:sz w:val="22"/>
        </w:rPr>
        <w:t>monitor the situation in the Middle East and submit</w:t>
      </w:r>
      <w:r>
        <w:rPr>
          <w:spacing w:val="40"/>
          <w:sz w:val="22"/>
        </w:rPr>
        <w:t> </w:t>
      </w:r>
      <w:r>
        <w:rPr>
          <w:sz w:val="22"/>
        </w:rPr>
        <w:t>a report thereon to the next Session of the Council of Ministers.</w:t>
      </w:r>
    </w:p>
    <w:sectPr>
      <w:pgSz w:w="12240" w:h="15840"/>
      <w:pgMar w:top="130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7" w:hanging="543"/>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1034" w:hanging="543"/>
      </w:pPr>
      <w:rPr>
        <w:rFonts w:hint="default"/>
        <w:lang w:val="en-US" w:eastAsia="en-US" w:bidi="ar-SA"/>
      </w:rPr>
    </w:lvl>
    <w:lvl w:ilvl="2">
      <w:start w:val="0"/>
      <w:numFmt w:val="bullet"/>
      <w:lvlText w:val="•"/>
      <w:lvlJc w:val="left"/>
      <w:pPr>
        <w:ind w:left="1948" w:hanging="543"/>
      </w:pPr>
      <w:rPr>
        <w:rFonts w:hint="default"/>
        <w:lang w:val="en-US" w:eastAsia="en-US" w:bidi="ar-SA"/>
      </w:rPr>
    </w:lvl>
    <w:lvl w:ilvl="3">
      <w:start w:val="0"/>
      <w:numFmt w:val="bullet"/>
      <w:lvlText w:val="•"/>
      <w:lvlJc w:val="left"/>
      <w:pPr>
        <w:ind w:left="2862" w:hanging="543"/>
      </w:pPr>
      <w:rPr>
        <w:rFonts w:hint="default"/>
        <w:lang w:val="en-US" w:eastAsia="en-US" w:bidi="ar-SA"/>
      </w:rPr>
    </w:lvl>
    <w:lvl w:ilvl="4">
      <w:start w:val="0"/>
      <w:numFmt w:val="bullet"/>
      <w:lvlText w:val="•"/>
      <w:lvlJc w:val="left"/>
      <w:pPr>
        <w:ind w:left="3776" w:hanging="543"/>
      </w:pPr>
      <w:rPr>
        <w:rFonts w:hint="default"/>
        <w:lang w:val="en-US" w:eastAsia="en-US" w:bidi="ar-SA"/>
      </w:rPr>
    </w:lvl>
    <w:lvl w:ilvl="5">
      <w:start w:val="0"/>
      <w:numFmt w:val="bullet"/>
      <w:lvlText w:val="•"/>
      <w:lvlJc w:val="left"/>
      <w:pPr>
        <w:ind w:left="4690" w:hanging="543"/>
      </w:pPr>
      <w:rPr>
        <w:rFonts w:hint="default"/>
        <w:lang w:val="en-US" w:eastAsia="en-US" w:bidi="ar-SA"/>
      </w:rPr>
    </w:lvl>
    <w:lvl w:ilvl="6">
      <w:start w:val="0"/>
      <w:numFmt w:val="bullet"/>
      <w:lvlText w:val="•"/>
      <w:lvlJc w:val="left"/>
      <w:pPr>
        <w:ind w:left="5604" w:hanging="543"/>
      </w:pPr>
      <w:rPr>
        <w:rFonts w:hint="default"/>
        <w:lang w:val="en-US" w:eastAsia="en-US" w:bidi="ar-SA"/>
      </w:rPr>
    </w:lvl>
    <w:lvl w:ilvl="7">
      <w:start w:val="0"/>
      <w:numFmt w:val="bullet"/>
      <w:lvlText w:val="•"/>
      <w:lvlJc w:val="left"/>
      <w:pPr>
        <w:ind w:left="6518" w:hanging="543"/>
      </w:pPr>
      <w:rPr>
        <w:rFonts w:hint="default"/>
        <w:lang w:val="en-US" w:eastAsia="en-US" w:bidi="ar-SA"/>
      </w:rPr>
    </w:lvl>
    <w:lvl w:ilvl="8">
      <w:start w:val="0"/>
      <w:numFmt w:val="bullet"/>
      <w:lvlText w:val="•"/>
      <w:lvlJc w:val="left"/>
      <w:pPr>
        <w:ind w:left="7432" w:hanging="54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13"/>
      <w:ind w:left="117"/>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143"/>
      <w:ind w:left="117"/>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112"/>
      <w:ind w:left="11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SIXTY-THIRD ORDINARY SESSION OF THE COUNCIL OF MINISTERS</dc:title>
  <dcterms:created xsi:type="dcterms:W3CDTF">2023-04-12T07:11:10Z</dcterms:created>
  <dcterms:modified xsi:type="dcterms:W3CDTF">2023-04-12T07:11:10Z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