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pPr>
      <w:r>
        <w:rPr/>
        <w:t>CM/Res.1628</w:t>
      </w:r>
      <w:r>
        <w:rPr>
          <w:spacing w:val="32"/>
        </w:rPr>
        <w:t> </w:t>
      </w:r>
      <w:r>
        <w:rPr>
          <w:spacing w:val="-2"/>
        </w:rPr>
        <w:t>(LXIII)</w:t>
      </w:r>
    </w:p>
    <w:p>
      <w:pPr>
        <w:pStyle w:val="BodyText"/>
        <w:spacing w:before="0"/>
        <w:ind w:left="0"/>
        <w:jc w:val="left"/>
        <w:rPr>
          <w:sz w:val="24"/>
        </w:rPr>
      </w:pPr>
    </w:p>
    <w:p>
      <w:pPr>
        <w:pStyle w:val="Title"/>
        <w:spacing w:line="367" w:lineRule="auto"/>
      </w:pPr>
      <w:r>
        <w:rPr/>
        <w:t>RESOLUTION</w:t>
      </w:r>
      <w:r>
        <w:rPr>
          <w:spacing w:val="40"/>
        </w:rPr>
        <w:t> </w:t>
      </w:r>
      <w:r>
        <w:rPr/>
        <w:t>ON</w:t>
      </w:r>
      <w:r>
        <w:rPr>
          <w:spacing w:val="40"/>
        </w:rPr>
        <w:t> </w:t>
      </w:r>
      <w:r>
        <w:rPr/>
        <w:t>THE</w:t>
      </w:r>
      <w:r>
        <w:rPr>
          <w:spacing w:val="40"/>
        </w:rPr>
        <w:t> </w:t>
      </w:r>
      <w:r>
        <w:rPr/>
        <w:t>REVISION</w:t>
      </w:r>
      <w:r>
        <w:rPr>
          <w:spacing w:val="40"/>
        </w:rPr>
        <w:t> </w:t>
      </w:r>
      <w:r>
        <w:rPr/>
        <w:t>OF</w:t>
      </w:r>
      <w:r>
        <w:rPr>
          <w:spacing w:val="40"/>
        </w:rPr>
        <w:t> </w:t>
      </w:r>
      <w:r>
        <w:rPr/>
        <w:t>THE</w:t>
      </w:r>
      <w:r>
        <w:rPr>
          <w:spacing w:val="40"/>
        </w:rPr>
        <w:t> </w:t>
      </w:r>
      <w:r>
        <w:rPr/>
        <w:t>1980</w:t>
      </w:r>
      <w:r>
        <w:rPr>
          <w:spacing w:val="40"/>
        </w:rPr>
        <w:t> </w:t>
      </w:r>
      <w:r>
        <w:rPr/>
        <w:t>UNITED</w:t>
      </w:r>
      <w:r>
        <w:rPr>
          <w:spacing w:val="40"/>
        </w:rPr>
        <w:t> </w:t>
      </w:r>
      <w:r>
        <w:rPr/>
        <w:t>NATIONS</w:t>
      </w:r>
      <w:r>
        <w:rPr>
          <w:spacing w:val="40"/>
        </w:rPr>
        <w:t> </w:t>
      </w:r>
      <w:r>
        <w:rPr/>
        <w:t>CONVENTION ON CERTAIN CONVENTIONAL WEAPONS AND PROBLEMS POSED BY THE PROLIFERATION OF ANTI-PERSONNEL MINES IN AFRICA</w:t>
      </w:r>
    </w:p>
    <w:p>
      <w:pPr>
        <w:pStyle w:val="BodyText"/>
        <w:spacing w:line="369" w:lineRule="auto" w:before="111"/>
        <w:ind w:right="126"/>
      </w:pPr>
      <w:r>
        <w:rPr/>
        <w:t>The Council of Ministers of the Organization of African Unity, meeting in its Sixty-Third Ordinary Session in Addis Ababa, Ethiopia, from 26 to 28 February, 1996,</w:t>
      </w:r>
    </w:p>
    <w:p>
      <w:pPr>
        <w:pStyle w:val="BodyText"/>
        <w:spacing w:line="369" w:lineRule="auto"/>
        <w:ind w:right="119"/>
      </w:pPr>
      <w:r>
        <w:rPr/>
        <w:t>Considering Resolution C</w:t>
      </w:r>
      <w:r>
        <w:rPr>
          <w:spacing w:val="40"/>
        </w:rPr>
        <w:t> </w:t>
      </w:r>
      <w:r>
        <w:rPr/>
        <w:t>M/Res. 1593 (LXII) on the United Nations Convention on Certain Conventional weapons and the Problems Posed by the Proliferation of Anti-Personnel Mines in</w:t>
      </w:r>
      <w:r>
        <w:rPr>
          <w:spacing w:val="40"/>
        </w:rPr>
        <w:t> </w:t>
      </w:r>
      <w:r>
        <w:rPr>
          <w:spacing w:val="-2"/>
        </w:rPr>
        <w:t>Africa,</w:t>
      </w:r>
    </w:p>
    <w:p>
      <w:pPr>
        <w:pStyle w:val="BodyText"/>
        <w:spacing w:line="367" w:lineRule="auto"/>
        <w:ind w:right="138"/>
      </w:pPr>
      <w:r>
        <w:rPr/>
        <w:t>Further Considering Resolution CM/Res.152G (LX) on respect for International Humanitarian Law and Support for Humanitarian Action in Armed Conflicts adopted by Council, particularly its paragraph</w:t>
      </w:r>
      <w:r>
        <w:rPr>
          <w:spacing w:val="27"/>
        </w:rPr>
        <w:t> </w:t>
      </w:r>
      <w:r>
        <w:rPr/>
        <w:t>6</w:t>
      </w:r>
      <w:r>
        <w:rPr>
          <w:spacing w:val="28"/>
        </w:rPr>
        <w:t> </w:t>
      </w:r>
      <w:r>
        <w:rPr/>
        <w:t>(b)</w:t>
      </w:r>
      <w:r>
        <w:rPr>
          <w:spacing w:val="28"/>
        </w:rPr>
        <w:t> </w:t>
      </w:r>
      <w:r>
        <w:rPr/>
        <w:t>by</w:t>
      </w:r>
      <w:r>
        <w:rPr>
          <w:spacing w:val="27"/>
        </w:rPr>
        <w:t> </w:t>
      </w:r>
      <w:r>
        <w:rPr/>
        <w:t>which</w:t>
      </w:r>
      <w:r>
        <w:rPr>
          <w:spacing w:val="27"/>
        </w:rPr>
        <w:t> </w:t>
      </w:r>
      <w:r>
        <w:rPr/>
        <w:t>the</w:t>
      </w:r>
      <w:r>
        <w:rPr>
          <w:spacing w:val="28"/>
        </w:rPr>
        <w:t> </w:t>
      </w:r>
      <w:r>
        <w:rPr/>
        <w:t>Council</w:t>
      </w:r>
      <w:r>
        <w:rPr>
          <w:spacing w:val="27"/>
        </w:rPr>
        <w:t> </w:t>
      </w:r>
      <w:r>
        <w:rPr/>
        <w:t>invites</w:t>
      </w:r>
      <w:r>
        <w:rPr>
          <w:spacing w:val="27"/>
        </w:rPr>
        <w:t> </w:t>
      </w:r>
      <w:r>
        <w:rPr/>
        <w:t>Member</w:t>
      </w:r>
      <w:r>
        <w:rPr>
          <w:spacing w:val="28"/>
        </w:rPr>
        <w:t> </w:t>
      </w:r>
      <w:r>
        <w:rPr/>
        <w:t>States</w:t>
      </w:r>
      <w:r>
        <w:rPr>
          <w:spacing w:val="27"/>
        </w:rPr>
        <w:t> </w:t>
      </w:r>
      <w:r>
        <w:rPr/>
        <w:t>which</w:t>
      </w:r>
      <w:r>
        <w:rPr>
          <w:spacing w:val="27"/>
        </w:rPr>
        <w:t> </w:t>
      </w:r>
      <w:r>
        <w:rPr/>
        <w:t>have</w:t>
      </w:r>
      <w:r>
        <w:rPr>
          <w:spacing w:val="28"/>
        </w:rPr>
        <w:t> </w:t>
      </w:r>
      <w:r>
        <w:rPr/>
        <w:t>not</w:t>
      </w:r>
      <w:r>
        <w:rPr>
          <w:spacing w:val="27"/>
        </w:rPr>
        <w:t> </w:t>
      </w:r>
      <w:r>
        <w:rPr/>
        <w:t>yet</w:t>
      </w:r>
      <w:r>
        <w:rPr>
          <w:spacing w:val="27"/>
        </w:rPr>
        <w:t> </w:t>
      </w:r>
      <w:r>
        <w:rPr/>
        <w:t>become</w:t>
      </w:r>
      <w:r>
        <w:rPr>
          <w:spacing w:val="28"/>
        </w:rPr>
        <w:t> </w:t>
      </w:r>
      <w:r>
        <w:rPr/>
        <w:t>party</w:t>
      </w:r>
      <w:r>
        <w:rPr>
          <w:spacing w:val="27"/>
        </w:rPr>
        <w:t> </w:t>
      </w:r>
      <w:r>
        <w:rPr/>
        <w:t>to the above Convention to do so,</w:t>
      </w:r>
    </w:p>
    <w:p>
      <w:pPr>
        <w:pStyle w:val="BodyText"/>
        <w:spacing w:line="367" w:lineRule="auto" w:before="122"/>
        <w:ind w:right="124"/>
      </w:pPr>
      <w:r>
        <w:rPr/>
        <w:t>Noting that the Review Conference of the Convention which met in Vienna, Austria, from 25 September to 13 October, 1995 did not agree on the new measures aimed at prohibiting or limiting strictly the production, the use and transfer of anti-personnel mines, and that it will resume its deliberations in Geneva, Switzerland from 22 April to 3 May, 1996,</w:t>
      </w:r>
    </w:p>
    <w:p>
      <w:pPr>
        <w:pStyle w:val="BodyText"/>
        <w:spacing w:line="360" w:lineRule="auto" w:before="123"/>
        <w:ind w:right="150" w:hanging="1"/>
      </w:pPr>
      <w:r>
        <w:rPr/>
        <w:t>Deeply concerned over the fact that Africa is, throughout the world, the Continent with the largest presence of emplaced anti-personnel mines and is, as a result, paying the heaviest toll,</w:t>
      </w:r>
    </w:p>
    <w:p>
      <w:pPr>
        <w:pStyle w:val="BodyText"/>
        <w:spacing w:line="367" w:lineRule="auto" w:before="129"/>
        <w:ind w:right="132" w:hanging="1"/>
      </w:pPr>
      <w:r>
        <w:rPr/>
        <w:t>Noting that, despite the firm appeal made by the Sixty- Second Ordinary Session of Council to all Member States to participate actively in the Review conference in Vienna, less than 12 African countries took part in the deliberations,</w:t>
      </w:r>
    </w:p>
    <w:p>
      <w:pPr>
        <w:pStyle w:val="BodyText"/>
        <w:spacing w:line="367" w:lineRule="auto" w:before="120"/>
        <w:ind w:right="118" w:hanging="1"/>
      </w:pPr>
      <w:r>
        <w:rPr/>
        <w:t>Noting</w:t>
      </w:r>
      <w:r>
        <w:rPr>
          <w:spacing w:val="40"/>
        </w:rPr>
        <w:t> </w:t>
      </w:r>
      <w:r>
        <w:rPr/>
        <w:t>in</w:t>
      </w:r>
      <w:r>
        <w:rPr>
          <w:spacing w:val="40"/>
        </w:rPr>
        <w:t> </w:t>
      </w:r>
      <w:r>
        <w:rPr/>
        <w:t>particular</w:t>
      </w:r>
      <w:r>
        <w:rPr>
          <w:spacing w:val="40"/>
        </w:rPr>
        <w:t> </w:t>
      </w:r>
      <w:r>
        <w:rPr/>
        <w:t>with</w:t>
      </w:r>
      <w:r>
        <w:rPr>
          <w:spacing w:val="40"/>
        </w:rPr>
        <w:t> </w:t>
      </w:r>
      <w:r>
        <w:rPr/>
        <w:t>concern</w:t>
      </w:r>
      <w:r>
        <w:rPr>
          <w:spacing w:val="40"/>
        </w:rPr>
        <w:t> </w:t>
      </w:r>
      <w:r>
        <w:rPr/>
        <w:t>the</w:t>
      </w:r>
      <w:r>
        <w:rPr>
          <w:spacing w:val="40"/>
        </w:rPr>
        <w:t> </w:t>
      </w:r>
      <w:r>
        <w:rPr/>
        <w:t>tremendous</w:t>
      </w:r>
      <w:r>
        <w:rPr>
          <w:spacing w:val="40"/>
        </w:rPr>
        <w:t> </w:t>
      </w:r>
      <w:r>
        <w:rPr/>
        <w:t>increase</w:t>
      </w:r>
      <w:r>
        <w:rPr>
          <w:spacing w:val="40"/>
        </w:rPr>
        <w:t> </w:t>
      </w:r>
      <w:r>
        <w:rPr/>
        <w:t>in</w:t>
      </w:r>
      <w:r>
        <w:rPr>
          <w:spacing w:val="40"/>
        </w:rPr>
        <w:t> </w:t>
      </w:r>
      <w:r>
        <w:rPr/>
        <w:t>the</w:t>
      </w:r>
      <w:r>
        <w:rPr>
          <w:spacing w:val="40"/>
        </w:rPr>
        <w:t> </w:t>
      </w:r>
      <w:r>
        <w:rPr/>
        <w:t>number</w:t>
      </w:r>
      <w:r>
        <w:rPr>
          <w:spacing w:val="40"/>
        </w:rPr>
        <w:t> </w:t>
      </w:r>
      <w:r>
        <w:rPr/>
        <w:t>of</w:t>
      </w:r>
      <w:r>
        <w:rPr>
          <w:spacing w:val="40"/>
        </w:rPr>
        <w:t> </w:t>
      </w:r>
      <w:r>
        <w:rPr/>
        <w:t>victims</w:t>
      </w:r>
      <w:r>
        <w:rPr>
          <w:spacing w:val="40"/>
        </w:rPr>
        <w:t> </w:t>
      </w:r>
      <w:r>
        <w:rPr/>
        <w:t>of</w:t>
      </w:r>
      <w:r>
        <w:rPr>
          <w:spacing w:val="40"/>
        </w:rPr>
        <w:t> </w:t>
      </w:r>
      <w:r>
        <w:rPr/>
        <w:t>anti</w:t>
      </w:r>
      <w:r>
        <w:rPr>
          <w:spacing w:val="-14"/>
        </w:rPr>
        <w:t> </w:t>
      </w:r>
      <w:r>
        <w:rPr/>
        <w:t>- personnel mines, among the civilian population and the high cost involved in mine clearing and rehabilitation of the affected areas;</w:t>
      </w:r>
    </w:p>
    <w:p>
      <w:pPr>
        <w:pStyle w:val="BodyText"/>
        <w:spacing w:line="364" w:lineRule="auto" w:before="121"/>
        <w:ind w:right="152"/>
      </w:pPr>
      <w:r>
        <w:rPr/>
        <w:t>Conscious of the fact that only appropriate measures adopted by the entire international community will eventually put an end to this</w:t>
      </w:r>
      <w:r>
        <w:rPr>
          <w:spacing w:val="40"/>
        </w:rPr>
        <w:t> </w:t>
      </w:r>
      <w:r>
        <w:rPr/>
        <w:t>scourge;</w:t>
      </w:r>
    </w:p>
    <w:p>
      <w:pPr>
        <w:pStyle w:val="ListParagraph"/>
        <w:numPr>
          <w:ilvl w:val="0"/>
          <w:numId w:val="1"/>
        </w:numPr>
        <w:tabs>
          <w:tab w:pos="761" w:val="left" w:leader="none"/>
        </w:tabs>
        <w:spacing w:line="360" w:lineRule="auto" w:before="66" w:after="0"/>
        <w:ind w:left="117" w:right="128" w:firstLine="0"/>
        <w:jc w:val="both"/>
        <w:rPr>
          <w:sz w:val="22"/>
        </w:rPr>
      </w:pPr>
      <w:r>
        <w:rPr>
          <w:sz w:val="22"/>
        </w:rPr>
        <w:t>TAKES NOTE of the Report of the Secretary-General on the problems posed by the proliferation of anti- personnel mines in Africa and the recommendations contained therein;</w:t>
      </w:r>
    </w:p>
    <w:p>
      <w:pPr>
        <w:pStyle w:val="ListParagraph"/>
        <w:numPr>
          <w:ilvl w:val="0"/>
          <w:numId w:val="1"/>
        </w:numPr>
        <w:tabs>
          <w:tab w:pos="664" w:val="left" w:leader="none"/>
        </w:tabs>
        <w:spacing w:line="240" w:lineRule="auto" w:before="129" w:after="0"/>
        <w:ind w:left="664" w:right="0" w:hanging="547"/>
        <w:jc w:val="both"/>
        <w:rPr>
          <w:sz w:val="22"/>
        </w:rPr>
      </w:pPr>
      <w:r>
        <w:rPr>
          <w:sz w:val="22"/>
        </w:rPr>
        <w:t>CONDEMNS</w:t>
      </w:r>
      <w:r>
        <w:rPr>
          <w:spacing w:val="38"/>
          <w:sz w:val="22"/>
        </w:rPr>
        <w:t> </w:t>
      </w:r>
      <w:r>
        <w:rPr>
          <w:sz w:val="22"/>
        </w:rPr>
        <w:t>the</w:t>
      </w:r>
      <w:r>
        <w:rPr>
          <w:spacing w:val="39"/>
          <w:sz w:val="22"/>
        </w:rPr>
        <w:t> </w:t>
      </w:r>
      <w:r>
        <w:rPr>
          <w:sz w:val="22"/>
        </w:rPr>
        <w:t>cases</w:t>
      </w:r>
      <w:r>
        <w:rPr>
          <w:spacing w:val="39"/>
          <w:sz w:val="22"/>
        </w:rPr>
        <w:t> </w:t>
      </w:r>
      <w:r>
        <w:rPr>
          <w:sz w:val="22"/>
        </w:rPr>
        <w:t>of</w:t>
      </w:r>
      <w:r>
        <w:rPr>
          <w:spacing w:val="39"/>
          <w:sz w:val="22"/>
        </w:rPr>
        <w:t> </w:t>
      </w:r>
      <w:r>
        <w:rPr>
          <w:sz w:val="22"/>
        </w:rPr>
        <w:t>flagrant</w:t>
      </w:r>
      <w:r>
        <w:rPr>
          <w:spacing w:val="39"/>
          <w:sz w:val="22"/>
        </w:rPr>
        <w:t> </w:t>
      </w:r>
      <w:r>
        <w:rPr>
          <w:sz w:val="22"/>
        </w:rPr>
        <w:t>violation</w:t>
      </w:r>
      <w:r>
        <w:rPr>
          <w:spacing w:val="39"/>
          <w:sz w:val="22"/>
        </w:rPr>
        <w:t> </w:t>
      </w:r>
      <w:r>
        <w:rPr>
          <w:sz w:val="22"/>
        </w:rPr>
        <w:t>of</w:t>
      </w:r>
      <w:r>
        <w:rPr>
          <w:spacing w:val="39"/>
          <w:sz w:val="22"/>
        </w:rPr>
        <w:t> </w:t>
      </w:r>
      <w:r>
        <w:rPr>
          <w:sz w:val="22"/>
        </w:rPr>
        <w:t>international</w:t>
      </w:r>
      <w:r>
        <w:rPr>
          <w:spacing w:val="39"/>
          <w:sz w:val="22"/>
        </w:rPr>
        <w:t> </w:t>
      </w:r>
      <w:r>
        <w:rPr>
          <w:sz w:val="22"/>
        </w:rPr>
        <w:t>humanitarian</w:t>
      </w:r>
      <w:r>
        <w:rPr>
          <w:spacing w:val="39"/>
          <w:sz w:val="22"/>
        </w:rPr>
        <w:t> </w:t>
      </w:r>
      <w:r>
        <w:rPr>
          <w:sz w:val="22"/>
        </w:rPr>
        <w:t>law</w:t>
      </w:r>
      <w:r>
        <w:rPr>
          <w:spacing w:val="39"/>
          <w:sz w:val="22"/>
        </w:rPr>
        <w:t> </w:t>
      </w:r>
      <w:r>
        <w:rPr>
          <w:sz w:val="22"/>
        </w:rPr>
        <w:t>through</w:t>
      </w:r>
      <w:r>
        <w:rPr>
          <w:spacing w:val="39"/>
          <w:sz w:val="22"/>
        </w:rPr>
        <w:t> </w:t>
      </w:r>
      <w:r>
        <w:rPr>
          <w:spacing w:val="-5"/>
          <w:sz w:val="22"/>
        </w:rPr>
        <w:t>the</w:t>
      </w:r>
    </w:p>
    <w:p>
      <w:pPr>
        <w:spacing w:after="0" w:line="240" w:lineRule="auto"/>
        <w:jc w:val="both"/>
        <w:rPr>
          <w:sz w:val="22"/>
        </w:rPr>
        <w:sectPr>
          <w:type w:val="continuous"/>
          <w:pgSz w:w="12240" w:h="15840"/>
          <w:pgMar w:top="1360" w:bottom="280" w:left="1500" w:right="1480"/>
        </w:sectPr>
      </w:pPr>
    </w:p>
    <w:p>
      <w:pPr>
        <w:pStyle w:val="BodyText"/>
        <w:spacing w:before="74"/>
      </w:pPr>
      <w:r>
        <w:rPr/>
        <w:t>indiscriminate</w:t>
      </w:r>
      <w:r>
        <w:rPr>
          <w:spacing w:val="5"/>
        </w:rPr>
        <w:t> </w:t>
      </w:r>
      <w:r>
        <w:rPr/>
        <w:t>use</w:t>
      </w:r>
      <w:r>
        <w:rPr>
          <w:spacing w:val="5"/>
        </w:rPr>
        <w:t> </w:t>
      </w:r>
      <w:r>
        <w:rPr/>
        <w:t>of</w:t>
      </w:r>
      <w:r>
        <w:rPr>
          <w:spacing w:val="5"/>
        </w:rPr>
        <w:t> </w:t>
      </w:r>
      <w:r>
        <w:rPr/>
        <w:t>anti-personnel</w:t>
      </w:r>
      <w:r>
        <w:rPr>
          <w:spacing w:val="4"/>
        </w:rPr>
        <w:t> </w:t>
      </w:r>
      <w:r>
        <w:rPr>
          <w:spacing w:val="-2"/>
        </w:rPr>
        <w:t>mitres;</w:t>
      </w:r>
    </w:p>
    <w:p>
      <w:pPr>
        <w:pStyle w:val="BodyText"/>
        <w:spacing w:before="9"/>
        <w:ind w:left="0"/>
        <w:jc w:val="left"/>
        <w:rPr>
          <w:sz w:val="21"/>
        </w:rPr>
      </w:pPr>
    </w:p>
    <w:p>
      <w:pPr>
        <w:pStyle w:val="ListParagraph"/>
        <w:numPr>
          <w:ilvl w:val="0"/>
          <w:numId w:val="1"/>
        </w:numPr>
        <w:tabs>
          <w:tab w:pos="577" w:val="left" w:leader="none"/>
        </w:tabs>
        <w:spacing w:line="364" w:lineRule="auto" w:before="0" w:after="0"/>
        <w:ind w:left="117" w:right="144" w:firstLine="0"/>
        <w:jc w:val="both"/>
        <w:rPr>
          <w:sz w:val="22"/>
        </w:rPr>
      </w:pPr>
      <w:r>
        <w:rPr>
          <w:sz w:val="22"/>
        </w:rPr>
        <w:t>URGES all Member States which have not yet acceded to the 1980 UN Convention on some Conventional arms to consider doing so as early as possible, particularly to its Protocol II;</w:t>
      </w:r>
    </w:p>
    <w:p>
      <w:pPr>
        <w:pStyle w:val="ListParagraph"/>
        <w:numPr>
          <w:ilvl w:val="0"/>
          <w:numId w:val="1"/>
        </w:numPr>
        <w:tabs>
          <w:tab w:pos="560" w:val="left" w:leader="none"/>
        </w:tabs>
        <w:spacing w:line="369" w:lineRule="auto" w:before="119" w:after="0"/>
        <w:ind w:left="117" w:right="142" w:firstLine="0"/>
        <w:jc w:val="both"/>
        <w:rPr>
          <w:sz w:val="22"/>
        </w:rPr>
      </w:pPr>
      <w:r>
        <w:rPr>
          <w:sz w:val="22"/>
        </w:rPr>
        <w:t>FURTHER URGES Member States to participate fully and actively in the Review Conference scheduled in Geneva from 22 April to 3 May, 1996 and to defend the African Common Position as contained in the operative paragraph 4 of the Resolution CM/Res. 1593 (LX--I);</w:t>
      </w:r>
    </w:p>
    <w:p>
      <w:pPr>
        <w:pStyle w:val="ListParagraph"/>
        <w:numPr>
          <w:ilvl w:val="0"/>
          <w:numId w:val="1"/>
        </w:numPr>
        <w:tabs>
          <w:tab w:pos="574" w:val="left" w:leader="none"/>
          <w:tab w:pos="4774" w:val="left" w:leader="none"/>
        </w:tabs>
        <w:spacing w:line="367" w:lineRule="auto" w:before="113" w:after="0"/>
        <w:ind w:left="117" w:right="118" w:firstLine="0"/>
        <w:jc w:val="both"/>
        <w:rPr>
          <w:sz w:val="22"/>
        </w:rPr>
      </w:pPr>
      <w:r>
        <w:rPr>
          <w:sz w:val="22"/>
        </w:rPr>
        <w:t>CALLS ON African Sub-regional organizations and particularly their Current Chairmen, to</w:t>
      </w:r>
      <w:r>
        <w:rPr>
          <w:spacing w:val="80"/>
          <w:sz w:val="22"/>
        </w:rPr>
        <w:t> </w:t>
      </w:r>
      <w:r>
        <w:rPr>
          <w:sz w:val="22"/>
        </w:rPr>
        <w:t>take, at the level of their respective regions,</w:t>
        <w:tab/>
        <w:t>the appropriate initiatives aimed at banning anti- personnel mines as a way of buttressing the efforts of the international community and the OAU in this area;</w:t>
      </w:r>
    </w:p>
    <w:p>
      <w:pPr>
        <w:pStyle w:val="ListParagraph"/>
        <w:numPr>
          <w:ilvl w:val="0"/>
          <w:numId w:val="1"/>
        </w:numPr>
        <w:tabs>
          <w:tab w:pos="566" w:val="left" w:leader="none"/>
        </w:tabs>
        <w:spacing w:line="367" w:lineRule="auto" w:before="122" w:after="0"/>
        <w:ind w:left="117" w:right="137" w:firstLine="0"/>
        <w:jc w:val="both"/>
        <w:rPr>
          <w:sz w:val="22"/>
        </w:rPr>
      </w:pPr>
      <w:r>
        <w:rPr>
          <w:sz w:val="22"/>
        </w:rPr>
        <w:t>APPEALS to the International Community to give increased support for national and regional structures charged with assisting victims of anti- personnel</w:t>
      </w:r>
      <w:r>
        <w:rPr>
          <w:spacing w:val="40"/>
          <w:sz w:val="22"/>
        </w:rPr>
        <w:t> </w:t>
      </w:r>
      <w:r>
        <w:rPr>
          <w:sz w:val="22"/>
        </w:rPr>
        <w:t>mines,</w:t>
      </w:r>
      <w:r>
        <w:rPr>
          <w:spacing w:val="80"/>
          <w:w w:val="150"/>
          <w:sz w:val="22"/>
        </w:rPr>
        <w:t> </w:t>
      </w:r>
      <w:r>
        <w:rPr>
          <w:sz w:val="22"/>
        </w:rPr>
        <w:t>notably,</w:t>
      </w:r>
      <w:r>
        <w:rPr>
          <w:spacing w:val="40"/>
          <w:sz w:val="22"/>
        </w:rPr>
        <w:t> </w:t>
      </w:r>
      <w:r>
        <w:rPr>
          <w:sz w:val="22"/>
        </w:rPr>
        <w:t>the</w:t>
      </w:r>
      <w:r>
        <w:rPr>
          <w:spacing w:val="80"/>
          <w:sz w:val="22"/>
        </w:rPr>
        <w:t> </w:t>
      </w:r>
      <w:r>
        <w:rPr>
          <w:sz w:val="22"/>
        </w:rPr>
        <w:t>African Rehabilitation Institute (ARI);</w:t>
      </w:r>
    </w:p>
    <w:p>
      <w:pPr>
        <w:pStyle w:val="ListParagraph"/>
        <w:numPr>
          <w:ilvl w:val="0"/>
          <w:numId w:val="1"/>
        </w:numPr>
        <w:tabs>
          <w:tab w:pos="522" w:val="left" w:leader="none"/>
        </w:tabs>
        <w:spacing w:line="364" w:lineRule="auto" w:before="120" w:after="0"/>
        <w:ind w:left="117" w:right="117" w:firstLine="0"/>
        <w:jc w:val="both"/>
        <w:rPr>
          <w:sz w:val="22"/>
        </w:rPr>
      </w:pPr>
      <w:r>
        <w:rPr>
          <w:sz w:val="22"/>
        </w:rPr>
        <w:t>FURTHER APPEALS to the international community to continue its support to the on-going national efforts of clearing mines in order to facilitate development in the countries affected;</w:t>
      </w:r>
    </w:p>
    <w:p>
      <w:pPr>
        <w:pStyle w:val="ListParagraph"/>
        <w:numPr>
          <w:ilvl w:val="0"/>
          <w:numId w:val="1"/>
        </w:numPr>
        <w:tabs>
          <w:tab w:pos="528" w:val="left" w:leader="none"/>
        </w:tabs>
        <w:spacing w:line="367" w:lineRule="auto" w:before="119" w:after="0"/>
        <w:ind w:left="117" w:right="136" w:firstLine="0"/>
        <w:jc w:val="both"/>
        <w:rPr>
          <w:sz w:val="22"/>
        </w:rPr>
      </w:pPr>
      <w:r>
        <w:rPr>
          <w:sz w:val="22"/>
        </w:rPr>
        <w:t>REQUESTS the countries responsible for supplying the necessary resources and information, including maps relating to the mines locations, to African countries which have been victims of the mines scourge during the 2nd World War and/or during conflicts @ preceding their attainment of </w:t>
      </w:r>
      <w:r>
        <w:rPr>
          <w:spacing w:val="-2"/>
          <w:sz w:val="22"/>
        </w:rPr>
        <w:t>independence;</w:t>
      </w:r>
    </w:p>
    <w:p>
      <w:pPr>
        <w:pStyle w:val="ListParagraph"/>
        <w:numPr>
          <w:ilvl w:val="0"/>
          <w:numId w:val="1"/>
        </w:numPr>
        <w:tabs>
          <w:tab w:pos="640" w:val="left" w:leader="none"/>
        </w:tabs>
        <w:spacing w:line="369" w:lineRule="auto" w:before="123" w:after="0"/>
        <w:ind w:left="117" w:right="135" w:firstLine="0"/>
        <w:jc w:val="both"/>
        <w:rPr>
          <w:sz w:val="22"/>
        </w:rPr>
      </w:pPr>
      <w:r>
        <w:rPr>
          <w:sz w:val="22"/>
        </w:rPr>
        <w:t>EXPRESSES SATISFACTION</w:t>
      </w:r>
      <w:r>
        <w:rPr>
          <w:spacing w:val="80"/>
          <w:sz w:val="22"/>
        </w:rPr>
        <w:t> </w:t>
      </w:r>
      <w:r>
        <w:rPr>
          <w:sz w:val="22"/>
        </w:rPr>
        <w:t>with the adoption of a Protocol banning blinding laser weapons by the Review Conference and CALLS on all Member States to consider adhering to it;</w:t>
      </w:r>
    </w:p>
    <w:p>
      <w:pPr>
        <w:pStyle w:val="ListParagraph"/>
        <w:numPr>
          <w:ilvl w:val="0"/>
          <w:numId w:val="1"/>
        </w:numPr>
        <w:tabs>
          <w:tab w:pos="573" w:val="left" w:leader="none"/>
        </w:tabs>
        <w:spacing w:line="367" w:lineRule="auto" w:before="113" w:after="0"/>
        <w:ind w:left="117" w:right="121" w:firstLine="0"/>
        <w:jc w:val="both"/>
        <w:rPr>
          <w:sz w:val="22"/>
        </w:rPr>
      </w:pPr>
      <w:r>
        <w:rPr>
          <w:sz w:val="22"/>
        </w:rPr>
        <w:t>TAKES</w:t>
      </w:r>
      <w:r>
        <w:rPr>
          <w:spacing w:val="37"/>
          <w:sz w:val="22"/>
        </w:rPr>
        <w:t> </w:t>
      </w:r>
      <w:r>
        <w:rPr>
          <w:sz w:val="22"/>
        </w:rPr>
        <w:t>NOTE</w:t>
      </w:r>
      <w:r>
        <w:rPr>
          <w:spacing w:val="39"/>
          <w:sz w:val="22"/>
        </w:rPr>
        <w:t> </w:t>
      </w:r>
      <w:r>
        <w:rPr>
          <w:sz w:val="22"/>
        </w:rPr>
        <w:t>of</w:t>
      </w:r>
      <w:r>
        <w:rPr>
          <w:spacing w:val="37"/>
          <w:sz w:val="22"/>
        </w:rPr>
        <w:t> </w:t>
      </w:r>
      <w:r>
        <w:rPr>
          <w:sz w:val="22"/>
        </w:rPr>
        <w:t>the</w:t>
      </w:r>
      <w:r>
        <w:rPr>
          <w:spacing w:val="38"/>
          <w:sz w:val="22"/>
        </w:rPr>
        <w:t> </w:t>
      </w:r>
      <w:r>
        <w:rPr>
          <w:sz w:val="22"/>
        </w:rPr>
        <w:t>new</w:t>
      </w:r>
      <w:r>
        <w:rPr>
          <w:spacing w:val="38"/>
          <w:sz w:val="22"/>
        </w:rPr>
        <w:t> </w:t>
      </w:r>
      <w:r>
        <w:rPr>
          <w:sz w:val="22"/>
        </w:rPr>
        <w:t>direction</w:t>
      </w:r>
      <w:r>
        <w:rPr>
          <w:spacing w:val="37"/>
          <w:sz w:val="22"/>
        </w:rPr>
        <w:t> </w:t>
      </w:r>
      <w:r>
        <w:rPr>
          <w:sz w:val="22"/>
        </w:rPr>
        <w:t>adopted</w:t>
      </w:r>
      <w:r>
        <w:rPr>
          <w:spacing w:val="39"/>
          <w:sz w:val="22"/>
        </w:rPr>
        <w:t> </w:t>
      </w:r>
      <w:r>
        <w:rPr>
          <w:sz w:val="22"/>
        </w:rPr>
        <w:t>by</w:t>
      </w:r>
      <w:r>
        <w:rPr>
          <w:spacing w:val="37"/>
          <w:sz w:val="22"/>
        </w:rPr>
        <w:t> </w:t>
      </w:r>
      <w:r>
        <w:rPr>
          <w:sz w:val="22"/>
        </w:rPr>
        <w:t>the</w:t>
      </w:r>
      <w:r>
        <w:rPr>
          <w:spacing w:val="38"/>
          <w:sz w:val="22"/>
        </w:rPr>
        <w:t> </w:t>
      </w:r>
      <w:r>
        <w:rPr>
          <w:sz w:val="22"/>
        </w:rPr>
        <w:t>Review</w:t>
      </w:r>
      <w:r>
        <w:rPr>
          <w:spacing w:val="38"/>
          <w:sz w:val="22"/>
        </w:rPr>
        <w:t> </w:t>
      </w:r>
      <w:r>
        <w:rPr>
          <w:sz w:val="22"/>
        </w:rPr>
        <w:t>Conference,</w:t>
      </w:r>
      <w:r>
        <w:rPr>
          <w:spacing w:val="38"/>
          <w:sz w:val="22"/>
        </w:rPr>
        <w:t> </w:t>
      </w:r>
      <w:r>
        <w:rPr>
          <w:sz w:val="22"/>
        </w:rPr>
        <w:t>which</w:t>
      </w:r>
      <w:r>
        <w:rPr>
          <w:spacing w:val="37"/>
          <w:sz w:val="22"/>
        </w:rPr>
        <w:t> </w:t>
      </w:r>
      <w:r>
        <w:rPr>
          <w:sz w:val="22"/>
        </w:rPr>
        <w:t>constitute</w:t>
      </w:r>
      <w:r>
        <w:rPr>
          <w:spacing w:val="38"/>
          <w:sz w:val="22"/>
        </w:rPr>
        <w:t> </w:t>
      </w:r>
      <w:r>
        <w:rPr>
          <w:sz w:val="22"/>
        </w:rPr>
        <w:t>a way forward towards the achievement of the ultimate aim of total ban on anti-personnel mines, </w:t>
      </w:r>
      <w:r>
        <w:rPr>
          <w:spacing w:val="-2"/>
          <w:sz w:val="22"/>
        </w:rPr>
        <w:t>namely:</w:t>
      </w:r>
    </w:p>
    <w:p>
      <w:pPr>
        <w:pStyle w:val="ListParagraph"/>
        <w:numPr>
          <w:ilvl w:val="1"/>
          <w:numId w:val="1"/>
        </w:numPr>
        <w:tabs>
          <w:tab w:pos="599" w:val="left" w:leader="none"/>
        </w:tabs>
        <w:spacing w:line="369" w:lineRule="auto" w:before="116" w:after="0"/>
        <w:ind w:left="117" w:right="132" w:firstLine="0"/>
        <w:jc w:val="both"/>
        <w:rPr>
          <w:sz w:val="22"/>
        </w:rPr>
      </w:pPr>
      <w:r>
        <w:rPr>
          <w:sz w:val="22"/>
        </w:rPr>
        <w:t>the extension of the field of applications of the 1980 Convention to non-international armed </w:t>
      </w:r>
      <w:r>
        <w:rPr>
          <w:spacing w:val="-2"/>
          <w:sz w:val="22"/>
        </w:rPr>
        <w:t>conflicts;</w:t>
      </w:r>
    </w:p>
    <w:p>
      <w:pPr>
        <w:pStyle w:val="ListParagraph"/>
        <w:numPr>
          <w:ilvl w:val="1"/>
          <w:numId w:val="1"/>
        </w:numPr>
        <w:tabs>
          <w:tab w:pos="487" w:val="left" w:leader="none"/>
        </w:tabs>
        <w:spacing w:line="240" w:lineRule="auto" w:before="113" w:after="0"/>
        <w:ind w:left="486" w:right="0" w:hanging="370"/>
        <w:jc w:val="both"/>
        <w:rPr>
          <w:sz w:val="22"/>
        </w:rPr>
      </w:pPr>
      <w:r>
        <w:rPr>
          <w:sz w:val="22"/>
        </w:rPr>
        <w:t>the</w:t>
      </w:r>
      <w:r>
        <w:rPr>
          <w:spacing w:val="1"/>
          <w:sz w:val="22"/>
        </w:rPr>
        <w:t> </w:t>
      </w:r>
      <w:r>
        <w:rPr>
          <w:sz w:val="22"/>
        </w:rPr>
        <w:t>assignment</w:t>
      </w:r>
      <w:r>
        <w:rPr>
          <w:spacing w:val="1"/>
          <w:sz w:val="22"/>
        </w:rPr>
        <w:t> </w:t>
      </w:r>
      <w:r>
        <w:rPr>
          <w:sz w:val="22"/>
        </w:rPr>
        <w:t>of</w:t>
      </w:r>
      <w:r>
        <w:rPr>
          <w:spacing w:val="1"/>
          <w:sz w:val="22"/>
        </w:rPr>
        <w:t> </w:t>
      </w:r>
      <w:r>
        <w:rPr>
          <w:sz w:val="22"/>
        </w:rPr>
        <w:t>responsibility</w:t>
      </w:r>
      <w:r>
        <w:rPr>
          <w:spacing w:val="1"/>
          <w:sz w:val="22"/>
        </w:rPr>
        <w:t> </w:t>
      </w:r>
      <w:r>
        <w:rPr>
          <w:sz w:val="22"/>
        </w:rPr>
        <w:t>for</w:t>
      </w:r>
      <w:r>
        <w:rPr>
          <w:spacing w:val="2"/>
          <w:sz w:val="22"/>
        </w:rPr>
        <w:t> </w:t>
      </w:r>
      <w:r>
        <w:rPr>
          <w:sz w:val="22"/>
        </w:rPr>
        <w:t>mine</w:t>
      </w:r>
      <w:r>
        <w:rPr>
          <w:spacing w:val="1"/>
          <w:sz w:val="22"/>
        </w:rPr>
        <w:t> </w:t>
      </w:r>
      <w:r>
        <w:rPr>
          <w:sz w:val="22"/>
        </w:rPr>
        <w:t>clearing</w:t>
      </w:r>
      <w:r>
        <w:rPr>
          <w:spacing w:val="1"/>
          <w:sz w:val="22"/>
        </w:rPr>
        <w:t> </w:t>
      </w:r>
      <w:r>
        <w:rPr>
          <w:sz w:val="22"/>
        </w:rPr>
        <w:t>to</w:t>
      </w:r>
      <w:r>
        <w:rPr>
          <w:spacing w:val="2"/>
          <w:sz w:val="22"/>
        </w:rPr>
        <w:t> </w:t>
      </w:r>
      <w:r>
        <w:rPr>
          <w:sz w:val="22"/>
        </w:rPr>
        <w:t>those</w:t>
      </w:r>
      <w:r>
        <w:rPr>
          <w:spacing w:val="1"/>
          <w:sz w:val="22"/>
        </w:rPr>
        <w:t> </w:t>
      </w:r>
      <w:r>
        <w:rPr>
          <w:sz w:val="22"/>
        </w:rPr>
        <w:t>who</w:t>
      </w:r>
      <w:r>
        <w:rPr>
          <w:spacing w:val="2"/>
          <w:sz w:val="22"/>
        </w:rPr>
        <w:t> </w:t>
      </w:r>
      <w:r>
        <w:rPr>
          <w:sz w:val="22"/>
        </w:rPr>
        <w:t>have</w:t>
      </w:r>
      <w:r>
        <w:rPr>
          <w:spacing w:val="1"/>
          <w:sz w:val="22"/>
        </w:rPr>
        <w:t> </w:t>
      </w:r>
      <w:r>
        <w:rPr>
          <w:sz w:val="22"/>
        </w:rPr>
        <w:t>laid</w:t>
      </w:r>
      <w:r>
        <w:rPr>
          <w:spacing w:val="2"/>
          <w:sz w:val="22"/>
        </w:rPr>
        <w:t> </w:t>
      </w:r>
      <w:r>
        <w:rPr>
          <w:spacing w:val="-2"/>
          <w:sz w:val="22"/>
        </w:rPr>
        <w:t>them;</w:t>
      </w:r>
    </w:p>
    <w:p>
      <w:pPr>
        <w:pStyle w:val="BodyText"/>
        <w:spacing w:before="5"/>
        <w:ind w:left="0"/>
        <w:jc w:val="left"/>
        <w:rPr>
          <w:sz w:val="21"/>
        </w:rPr>
      </w:pPr>
    </w:p>
    <w:p>
      <w:pPr>
        <w:pStyle w:val="ListParagraph"/>
        <w:numPr>
          <w:ilvl w:val="1"/>
          <w:numId w:val="1"/>
        </w:numPr>
        <w:tabs>
          <w:tab w:pos="487" w:val="left" w:leader="none"/>
        </w:tabs>
        <w:spacing w:line="240" w:lineRule="auto" w:before="0" w:after="0"/>
        <w:ind w:left="486" w:right="0" w:hanging="370"/>
        <w:jc w:val="both"/>
        <w:rPr>
          <w:sz w:val="22"/>
        </w:rPr>
      </w:pPr>
      <w:r>
        <w:rPr>
          <w:sz w:val="22"/>
        </w:rPr>
        <w:t>the</w:t>
      </w:r>
      <w:r>
        <w:rPr>
          <w:spacing w:val="3"/>
          <w:sz w:val="22"/>
        </w:rPr>
        <w:t> </w:t>
      </w:r>
      <w:r>
        <w:rPr>
          <w:sz w:val="22"/>
        </w:rPr>
        <w:t>mandatory</w:t>
      </w:r>
      <w:r>
        <w:rPr>
          <w:spacing w:val="3"/>
          <w:sz w:val="22"/>
        </w:rPr>
        <w:t> </w:t>
      </w:r>
      <w:r>
        <w:rPr>
          <w:sz w:val="22"/>
        </w:rPr>
        <w:t>registration</w:t>
      </w:r>
      <w:r>
        <w:rPr>
          <w:spacing w:val="4"/>
          <w:sz w:val="22"/>
        </w:rPr>
        <w:t> </w:t>
      </w:r>
      <w:r>
        <w:rPr>
          <w:sz w:val="22"/>
        </w:rPr>
        <w:t>of</w:t>
      </w:r>
      <w:r>
        <w:rPr>
          <w:spacing w:val="2"/>
          <w:sz w:val="22"/>
        </w:rPr>
        <w:t> </w:t>
      </w:r>
      <w:r>
        <w:rPr>
          <w:sz w:val="22"/>
        </w:rPr>
        <w:t>all</w:t>
      </w:r>
      <w:r>
        <w:rPr>
          <w:spacing w:val="4"/>
          <w:sz w:val="22"/>
        </w:rPr>
        <w:t> </w:t>
      </w:r>
      <w:r>
        <w:rPr>
          <w:sz w:val="22"/>
        </w:rPr>
        <w:t>mine</w:t>
      </w:r>
      <w:r>
        <w:rPr>
          <w:spacing w:val="3"/>
          <w:sz w:val="22"/>
        </w:rPr>
        <w:t> </w:t>
      </w:r>
      <w:r>
        <w:rPr>
          <w:sz w:val="22"/>
        </w:rPr>
        <w:t>fields</w:t>
      </w:r>
      <w:r>
        <w:rPr>
          <w:spacing w:val="3"/>
          <w:sz w:val="22"/>
        </w:rPr>
        <w:t> </w:t>
      </w:r>
      <w:r>
        <w:rPr>
          <w:sz w:val="22"/>
        </w:rPr>
        <w:t>and</w:t>
      </w:r>
      <w:r>
        <w:rPr>
          <w:spacing w:val="4"/>
          <w:sz w:val="22"/>
        </w:rPr>
        <w:t> </w:t>
      </w:r>
      <w:r>
        <w:rPr>
          <w:sz w:val="22"/>
        </w:rPr>
        <w:t>mine</w:t>
      </w:r>
      <w:r>
        <w:rPr>
          <w:spacing w:val="3"/>
          <w:sz w:val="22"/>
        </w:rPr>
        <w:t> </w:t>
      </w:r>
      <w:r>
        <w:rPr>
          <w:sz w:val="22"/>
        </w:rPr>
        <w:t>areas</w:t>
      </w:r>
      <w:r>
        <w:rPr>
          <w:spacing w:val="3"/>
          <w:sz w:val="22"/>
        </w:rPr>
        <w:t> </w:t>
      </w:r>
      <w:r>
        <w:rPr>
          <w:sz w:val="22"/>
        </w:rPr>
        <w:t>and</w:t>
      </w:r>
      <w:r>
        <w:rPr>
          <w:spacing w:val="4"/>
          <w:sz w:val="22"/>
        </w:rPr>
        <w:t> </w:t>
      </w:r>
      <w:r>
        <w:rPr>
          <w:sz w:val="22"/>
        </w:rPr>
        <w:t>not</w:t>
      </w:r>
      <w:r>
        <w:rPr>
          <w:spacing w:val="4"/>
          <w:sz w:val="22"/>
        </w:rPr>
        <w:t> </w:t>
      </w:r>
      <w:r>
        <w:rPr>
          <w:sz w:val="22"/>
        </w:rPr>
        <w:t>only</w:t>
      </w:r>
      <w:r>
        <w:rPr>
          <w:spacing w:val="2"/>
          <w:sz w:val="22"/>
        </w:rPr>
        <w:t> </w:t>
      </w:r>
      <w:r>
        <w:rPr>
          <w:sz w:val="22"/>
        </w:rPr>
        <w:t>certain</w:t>
      </w:r>
      <w:r>
        <w:rPr>
          <w:spacing w:val="3"/>
          <w:sz w:val="22"/>
        </w:rPr>
        <w:t> </w:t>
      </w:r>
      <w:r>
        <w:rPr>
          <w:spacing w:val="-2"/>
          <w:sz w:val="22"/>
        </w:rPr>
        <w:t>types;</w:t>
      </w:r>
    </w:p>
    <w:p>
      <w:pPr>
        <w:pStyle w:val="BodyText"/>
        <w:spacing w:before="10"/>
        <w:ind w:left="0"/>
        <w:jc w:val="left"/>
        <w:rPr>
          <w:sz w:val="21"/>
        </w:rPr>
      </w:pPr>
    </w:p>
    <w:p>
      <w:pPr>
        <w:pStyle w:val="ListParagraph"/>
        <w:numPr>
          <w:ilvl w:val="1"/>
          <w:numId w:val="1"/>
        </w:numPr>
        <w:tabs>
          <w:tab w:pos="535" w:val="left" w:leader="none"/>
        </w:tabs>
        <w:spacing w:line="364" w:lineRule="auto" w:before="0" w:after="0"/>
        <w:ind w:left="117" w:right="136" w:firstLine="0"/>
        <w:jc w:val="both"/>
        <w:rPr>
          <w:sz w:val="22"/>
        </w:rPr>
      </w:pPr>
      <w:r>
        <w:rPr>
          <w:sz w:val="22"/>
        </w:rPr>
        <w:t>the banning of the use of devices which trigger the- explosion of a mine at the approach of the electromagnetic detector or similar detector as those used in demining teams.</w:t>
      </w:r>
    </w:p>
    <w:p>
      <w:pPr>
        <w:spacing w:after="0" w:line="364" w:lineRule="auto"/>
        <w:jc w:val="both"/>
        <w:rPr>
          <w:sz w:val="22"/>
        </w:rPr>
        <w:sectPr>
          <w:pgSz w:w="12240" w:h="15840"/>
          <w:pgMar w:top="1300" w:bottom="280" w:left="1500" w:right="1480"/>
        </w:sectPr>
      </w:pPr>
    </w:p>
    <w:p>
      <w:pPr>
        <w:pStyle w:val="BodyText"/>
        <w:spacing w:line="369" w:lineRule="auto" w:before="74"/>
        <w:ind w:right="120"/>
      </w:pPr>
      <w:r>
        <w:rPr/>
        <w:t>REITERATES the provisions of resolution CM/Res. 1370 (LV) on refugees and displaced persons "appealing to all Member States of the Organization of African Unity that are able to do so, to contribute, through the Organization of African Unity or any other</w:t>
      </w:r>
      <w:r>
        <w:rPr>
          <w:spacing w:val="40"/>
        </w:rPr>
        <w:t> </w:t>
      </w:r>
      <w:r>
        <w:rPr/>
        <w:t>appropriate</w:t>
      </w:r>
      <w:r>
        <w:rPr>
          <w:spacing w:val="80"/>
        </w:rPr>
        <w:t> </w:t>
      </w:r>
      <w:r>
        <w:rPr/>
        <w:t>arrangements, expertise, personnel, equipment, technical know-how or any other relevant resources towards the clearance</w:t>
      </w:r>
      <w:r>
        <w:rPr>
          <w:spacing w:val="40"/>
        </w:rPr>
        <w:t> </w:t>
      </w:r>
      <w:r>
        <w:rPr/>
        <w:t>of</w:t>
      </w:r>
      <w:r>
        <w:rPr>
          <w:spacing w:val="40"/>
        </w:rPr>
        <w:t> </w:t>
      </w:r>
      <w:r>
        <w:rPr/>
        <w:t>land</w:t>
      </w:r>
      <w:r>
        <w:rPr>
          <w:spacing w:val="40"/>
        </w:rPr>
        <w:t> </w:t>
      </w:r>
      <w:r>
        <w:rPr/>
        <w:t>mines</w:t>
      </w:r>
      <w:r>
        <w:rPr>
          <w:spacing w:val="40"/>
        </w:rPr>
        <w:t> </w:t>
      </w:r>
      <w:r>
        <w:rPr/>
        <w:t>and</w:t>
      </w:r>
      <w:r>
        <w:rPr>
          <w:spacing w:val="40"/>
        </w:rPr>
        <w:t> </w:t>
      </w:r>
      <w:r>
        <w:rPr/>
        <w:t>other</w:t>
      </w:r>
      <w:r>
        <w:rPr>
          <w:spacing w:val="40"/>
        </w:rPr>
        <w:t> </w:t>
      </w:r>
      <w:r>
        <w:rPr/>
        <w:t>unexploded</w:t>
      </w:r>
      <w:r>
        <w:rPr>
          <w:spacing w:val="40"/>
        </w:rPr>
        <w:t> </w:t>
      </w:r>
      <w:r>
        <w:rPr/>
        <w:t>ammunitions</w:t>
      </w:r>
      <w:r>
        <w:rPr>
          <w:spacing w:val="40"/>
        </w:rPr>
        <w:t> </w:t>
      </w:r>
      <w:r>
        <w:rPr/>
        <w:t>in</w:t>
      </w:r>
      <w:r>
        <w:rPr>
          <w:spacing w:val="40"/>
        </w:rPr>
        <w:t> </w:t>
      </w:r>
      <w:r>
        <w:rPr/>
        <w:t>areas</w:t>
      </w:r>
      <w:r>
        <w:rPr>
          <w:spacing w:val="40"/>
        </w:rPr>
        <w:t> </w:t>
      </w:r>
      <w:r>
        <w:rPr/>
        <w:t>of</w:t>
      </w:r>
      <w:r>
        <w:rPr>
          <w:spacing w:val="40"/>
        </w:rPr>
        <w:t> </w:t>
      </w:r>
      <w:r>
        <w:rPr/>
        <w:t>potential</w:t>
      </w:r>
      <w:r>
        <w:rPr>
          <w:spacing w:val="40"/>
        </w:rPr>
        <w:t> </w:t>
      </w:r>
      <w:r>
        <w:rPr/>
        <w:t>return</w:t>
      </w:r>
      <w:r>
        <w:rPr>
          <w:spacing w:val="40"/>
        </w:rPr>
        <w:t> </w:t>
      </w:r>
      <w:r>
        <w:rPr/>
        <w:t>of </w:t>
      </w:r>
      <w:r>
        <w:rPr>
          <w:spacing w:val="-2"/>
        </w:rPr>
        <w:t>refugees;"</w:t>
      </w:r>
    </w:p>
    <w:p>
      <w:pPr>
        <w:pStyle w:val="ListParagraph"/>
        <w:numPr>
          <w:ilvl w:val="0"/>
          <w:numId w:val="2"/>
        </w:numPr>
        <w:tabs>
          <w:tab w:pos="611" w:val="left" w:leader="none"/>
        </w:tabs>
        <w:spacing w:line="369" w:lineRule="auto" w:before="110" w:after="0"/>
        <w:ind w:left="117" w:right="121" w:firstLine="0"/>
        <w:jc w:val="both"/>
        <w:rPr>
          <w:sz w:val="22"/>
        </w:rPr>
      </w:pPr>
      <w:r>
        <w:rPr>
          <w:sz w:val="22"/>
        </w:rPr>
        <w:t>APPEALS to all Member States to cooperate in developing- and enhancing self-reliance in all fields relevant to this resolution including technical capability of demining and humanitarian assistance to the victims of anti-personnel mines;</w:t>
      </w:r>
    </w:p>
    <w:p>
      <w:pPr>
        <w:pStyle w:val="ListParagraph"/>
        <w:numPr>
          <w:ilvl w:val="0"/>
          <w:numId w:val="2"/>
        </w:numPr>
        <w:tabs>
          <w:tab w:pos="660" w:val="left" w:leader="none"/>
        </w:tabs>
        <w:spacing w:line="364" w:lineRule="auto" w:before="113" w:after="0"/>
        <w:ind w:left="117" w:right="131" w:firstLine="0"/>
        <w:jc w:val="both"/>
        <w:rPr>
          <w:sz w:val="22"/>
        </w:rPr>
      </w:pPr>
      <w:r>
        <w:rPr>
          <w:sz w:val="22"/>
        </w:rPr>
        <w:t>REQUESTS the Secretary-General to monitor the implementation of this resolution, and to report thereon to the Sixty-Fourth Ordinary Session of council.</w:t>
      </w:r>
    </w:p>
    <w:sectPr>
      <w:pgSz w:w="12240" w:h="15840"/>
      <w:pgMar w:top="1300" w:bottom="280" w:left="15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2"/>
      <w:numFmt w:val="decimal"/>
      <w:lvlText w:val="%1."/>
      <w:lvlJc w:val="left"/>
      <w:pPr>
        <w:ind w:left="117" w:hanging="493"/>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034" w:hanging="493"/>
      </w:pPr>
      <w:rPr>
        <w:rFonts w:hint="default"/>
        <w:lang w:val="en-US" w:eastAsia="en-US" w:bidi="ar-SA"/>
      </w:rPr>
    </w:lvl>
    <w:lvl w:ilvl="2">
      <w:start w:val="0"/>
      <w:numFmt w:val="bullet"/>
      <w:lvlText w:val="•"/>
      <w:lvlJc w:val="left"/>
      <w:pPr>
        <w:ind w:left="1948" w:hanging="493"/>
      </w:pPr>
      <w:rPr>
        <w:rFonts w:hint="default"/>
        <w:lang w:val="en-US" w:eastAsia="en-US" w:bidi="ar-SA"/>
      </w:rPr>
    </w:lvl>
    <w:lvl w:ilvl="3">
      <w:start w:val="0"/>
      <w:numFmt w:val="bullet"/>
      <w:lvlText w:val="•"/>
      <w:lvlJc w:val="left"/>
      <w:pPr>
        <w:ind w:left="2862" w:hanging="493"/>
      </w:pPr>
      <w:rPr>
        <w:rFonts w:hint="default"/>
        <w:lang w:val="en-US" w:eastAsia="en-US" w:bidi="ar-SA"/>
      </w:rPr>
    </w:lvl>
    <w:lvl w:ilvl="4">
      <w:start w:val="0"/>
      <w:numFmt w:val="bullet"/>
      <w:lvlText w:val="•"/>
      <w:lvlJc w:val="left"/>
      <w:pPr>
        <w:ind w:left="3776" w:hanging="493"/>
      </w:pPr>
      <w:rPr>
        <w:rFonts w:hint="default"/>
        <w:lang w:val="en-US" w:eastAsia="en-US" w:bidi="ar-SA"/>
      </w:rPr>
    </w:lvl>
    <w:lvl w:ilvl="5">
      <w:start w:val="0"/>
      <w:numFmt w:val="bullet"/>
      <w:lvlText w:val="•"/>
      <w:lvlJc w:val="left"/>
      <w:pPr>
        <w:ind w:left="4690" w:hanging="493"/>
      </w:pPr>
      <w:rPr>
        <w:rFonts w:hint="default"/>
        <w:lang w:val="en-US" w:eastAsia="en-US" w:bidi="ar-SA"/>
      </w:rPr>
    </w:lvl>
    <w:lvl w:ilvl="6">
      <w:start w:val="0"/>
      <w:numFmt w:val="bullet"/>
      <w:lvlText w:val="•"/>
      <w:lvlJc w:val="left"/>
      <w:pPr>
        <w:ind w:left="5604" w:hanging="493"/>
      </w:pPr>
      <w:rPr>
        <w:rFonts w:hint="default"/>
        <w:lang w:val="en-US" w:eastAsia="en-US" w:bidi="ar-SA"/>
      </w:rPr>
    </w:lvl>
    <w:lvl w:ilvl="7">
      <w:start w:val="0"/>
      <w:numFmt w:val="bullet"/>
      <w:lvlText w:val="•"/>
      <w:lvlJc w:val="left"/>
      <w:pPr>
        <w:ind w:left="6518" w:hanging="493"/>
      </w:pPr>
      <w:rPr>
        <w:rFonts w:hint="default"/>
        <w:lang w:val="en-US" w:eastAsia="en-US" w:bidi="ar-SA"/>
      </w:rPr>
    </w:lvl>
    <w:lvl w:ilvl="8">
      <w:start w:val="0"/>
      <w:numFmt w:val="bullet"/>
      <w:lvlText w:val="•"/>
      <w:lvlJc w:val="left"/>
      <w:pPr>
        <w:ind w:left="7432" w:hanging="493"/>
      </w:pPr>
      <w:rPr>
        <w:rFonts w:hint="default"/>
        <w:lang w:val="en-US" w:eastAsia="en-US" w:bidi="ar-SA"/>
      </w:rPr>
    </w:lvl>
  </w:abstractNum>
  <w:abstractNum w:abstractNumId="0">
    <w:multiLevelType w:val="hybridMultilevel"/>
    <w:lvl w:ilvl="0">
      <w:start w:val="1"/>
      <w:numFmt w:val="decimal"/>
      <w:lvlText w:val="%1."/>
      <w:lvlJc w:val="left"/>
      <w:pPr>
        <w:ind w:left="117" w:hanging="644"/>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17" w:hanging="481"/>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1948" w:hanging="481"/>
      </w:pPr>
      <w:rPr>
        <w:rFonts w:hint="default"/>
        <w:lang w:val="en-US" w:eastAsia="en-US" w:bidi="ar-SA"/>
      </w:rPr>
    </w:lvl>
    <w:lvl w:ilvl="3">
      <w:start w:val="0"/>
      <w:numFmt w:val="bullet"/>
      <w:lvlText w:val="•"/>
      <w:lvlJc w:val="left"/>
      <w:pPr>
        <w:ind w:left="2862" w:hanging="481"/>
      </w:pPr>
      <w:rPr>
        <w:rFonts w:hint="default"/>
        <w:lang w:val="en-US" w:eastAsia="en-US" w:bidi="ar-SA"/>
      </w:rPr>
    </w:lvl>
    <w:lvl w:ilvl="4">
      <w:start w:val="0"/>
      <w:numFmt w:val="bullet"/>
      <w:lvlText w:val="•"/>
      <w:lvlJc w:val="left"/>
      <w:pPr>
        <w:ind w:left="3776" w:hanging="481"/>
      </w:pPr>
      <w:rPr>
        <w:rFonts w:hint="default"/>
        <w:lang w:val="en-US" w:eastAsia="en-US" w:bidi="ar-SA"/>
      </w:rPr>
    </w:lvl>
    <w:lvl w:ilvl="5">
      <w:start w:val="0"/>
      <w:numFmt w:val="bullet"/>
      <w:lvlText w:val="•"/>
      <w:lvlJc w:val="left"/>
      <w:pPr>
        <w:ind w:left="4690" w:hanging="481"/>
      </w:pPr>
      <w:rPr>
        <w:rFonts w:hint="default"/>
        <w:lang w:val="en-US" w:eastAsia="en-US" w:bidi="ar-SA"/>
      </w:rPr>
    </w:lvl>
    <w:lvl w:ilvl="6">
      <w:start w:val="0"/>
      <w:numFmt w:val="bullet"/>
      <w:lvlText w:val="•"/>
      <w:lvlJc w:val="left"/>
      <w:pPr>
        <w:ind w:left="5604" w:hanging="481"/>
      </w:pPr>
      <w:rPr>
        <w:rFonts w:hint="default"/>
        <w:lang w:val="en-US" w:eastAsia="en-US" w:bidi="ar-SA"/>
      </w:rPr>
    </w:lvl>
    <w:lvl w:ilvl="7">
      <w:start w:val="0"/>
      <w:numFmt w:val="bullet"/>
      <w:lvlText w:val="•"/>
      <w:lvlJc w:val="left"/>
      <w:pPr>
        <w:ind w:left="6518" w:hanging="481"/>
      </w:pPr>
      <w:rPr>
        <w:rFonts w:hint="default"/>
        <w:lang w:val="en-US" w:eastAsia="en-US" w:bidi="ar-SA"/>
      </w:rPr>
    </w:lvl>
    <w:lvl w:ilvl="8">
      <w:start w:val="0"/>
      <w:numFmt w:val="bullet"/>
      <w:lvlText w:val="•"/>
      <w:lvlJc w:val="left"/>
      <w:pPr>
        <w:ind w:left="7432" w:hanging="48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13"/>
      <w:ind w:left="117"/>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48"/>
      <w:ind w:left="117" w:right="118"/>
      <w:jc w:val="both"/>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113"/>
      <w:ind w:left="11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SIXTY-THIRD ORDINARY SESSION OF THE COUNCIL OF MINISTERS</dc:title>
  <dcterms:created xsi:type="dcterms:W3CDTF">2023-04-12T07:11:21Z</dcterms:created>
  <dcterms:modified xsi:type="dcterms:W3CDTF">2023-04-12T07:11:21Z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